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76D5" w14:textId="040E0120" w:rsidR="00D07C27" w:rsidRDefault="00EC3D26" w:rsidP="00936441">
      <w:pPr>
        <w:pStyle w:val="Ttulo1"/>
        <w:ind w:right="545"/>
      </w:pPr>
      <w:r>
        <w:t>Tema 25 del orden del día: Actualización del WS2 del CCWG sobre Responsabilidad</w:t>
      </w:r>
    </w:p>
    <w:p w14:paraId="7716CEA6" w14:textId="1BB4E9E2" w:rsidR="00E00260" w:rsidRPr="00E00260" w:rsidRDefault="00E00260" w:rsidP="00D10DB6">
      <w:pPr>
        <w:pStyle w:val="Ttulo2"/>
        <w:rPr>
          <w:sz w:val="20"/>
          <w:szCs w:val="20"/>
        </w:rPr>
      </w:pPr>
      <w:r>
        <w:t xml:space="preserve">Nota: </w:t>
      </w:r>
      <w:r>
        <w:rPr>
          <w:color w:val="000000" w:themeColor="text1"/>
          <w:sz w:val="20"/>
          <w:szCs w:val="20"/>
        </w:rPr>
        <w:t>esta información deberá actualizarse en la reunión del GAC para tener en cuenta la reunión presencial del CCWG sobre Responsabilidad en la ciudad de Panamá el domingo 24 de junio de 2018.</w:t>
      </w:r>
      <w:bookmarkStart w:id="0" w:name="_GoBack"/>
      <w:bookmarkEnd w:id="0"/>
    </w:p>
    <w:p w14:paraId="4ABE83AD" w14:textId="0C1E079D" w:rsidR="00E13252" w:rsidRDefault="00E13252" w:rsidP="00D10DB6">
      <w:pPr>
        <w:pStyle w:val="Ttulo2"/>
      </w:pPr>
      <w:r>
        <w:t>Cuestiones</w:t>
      </w:r>
    </w:p>
    <w:p w14:paraId="70D8BD1F" w14:textId="43E77599" w:rsidR="00E00260" w:rsidRDefault="00A92158" w:rsidP="00E00260">
      <w:pPr>
        <w:pStyle w:val="Prrafodelista"/>
        <w:numPr>
          <w:ilvl w:val="0"/>
          <w:numId w:val="5"/>
        </w:numPr>
        <w:spacing w:before="100" w:beforeAutospacing="1" w:after="240"/>
        <w:ind w:right="545"/>
        <w:rPr>
          <w:szCs w:val="20"/>
        </w:rPr>
      </w:pPr>
      <w:r>
        <w:t>Informes de los miembros nominados por el GAC del Área de Trabajo 2 (WS2) del CCWG sobre Responsabilidad.</w:t>
      </w:r>
    </w:p>
    <w:p w14:paraId="2EEF2ED9" w14:textId="75E7E1B9" w:rsidR="00023E59" w:rsidRPr="00A92158" w:rsidRDefault="00A92158" w:rsidP="00A92158">
      <w:pPr>
        <w:pStyle w:val="Prrafodelista"/>
        <w:numPr>
          <w:ilvl w:val="0"/>
          <w:numId w:val="5"/>
        </w:numPr>
        <w:spacing w:before="100" w:beforeAutospacing="1" w:after="240"/>
        <w:ind w:right="545"/>
        <w:rPr>
          <w:szCs w:val="20"/>
        </w:rPr>
      </w:pPr>
      <w:r>
        <w:t>Informe final y recomendaciones del WS2 del CCWG.</w:t>
      </w:r>
    </w:p>
    <w:p w14:paraId="2FDA9BA2" w14:textId="70484D57" w:rsidR="00E00260" w:rsidRDefault="00831E94" w:rsidP="00E00260">
      <w:pPr>
        <w:pStyle w:val="Prrafodelista"/>
        <w:numPr>
          <w:ilvl w:val="0"/>
          <w:numId w:val="5"/>
        </w:numPr>
        <w:spacing w:before="100" w:beforeAutospacing="1" w:after="240"/>
        <w:ind w:right="545"/>
        <w:rPr>
          <w:szCs w:val="20"/>
        </w:rPr>
      </w:pPr>
      <w:r>
        <w:t xml:space="preserve">Posición del GAC como organización estatutaria del CCWG. </w:t>
      </w:r>
    </w:p>
    <w:p w14:paraId="24811425" w14:textId="4FF6E149" w:rsidR="00B1475A" w:rsidRDefault="00B1475A" w:rsidP="00D10DB6">
      <w:pPr>
        <w:pStyle w:val="Ttulo2"/>
      </w:pPr>
      <w:r>
        <w:t>Acción del GAC requerida</w:t>
      </w:r>
    </w:p>
    <w:p w14:paraId="0A3A4541" w14:textId="000C5F61" w:rsidR="00D34405" w:rsidRPr="00367D10" w:rsidRDefault="00E00260" w:rsidP="00367D10">
      <w:pPr>
        <w:pStyle w:val="Textoindependiente"/>
        <w:numPr>
          <w:ilvl w:val="0"/>
          <w:numId w:val="16"/>
        </w:numPr>
        <w:ind w:right="545"/>
        <w:rPr>
          <w:b/>
          <w:color w:val="2E74B5" w:themeColor="accent1" w:themeShade="BF"/>
        </w:rPr>
      </w:pPr>
      <w:r>
        <w:rPr>
          <w:b/>
          <w:color w:val="2E74B5" w:themeColor="accent1" w:themeShade="BF"/>
        </w:rPr>
        <w:t>Informes de los miembros del GAC</w:t>
      </w:r>
    </w:p>
    <w:p w14:paraId="0E2B3024" w14:textId="7239B86A" w:rsidR="00C40474" w:rsidRDefault="00C40474" w:rsidP="00C40474">
      <w:pPr>
        <w:pStyle w:val="Textoindependiente"/>
        <w:ind w:right="545"/>
      </w:pPr>
      <w:r>
        <w:t>Escuchar los informes de los miembros del CCWG nominados por el GAC ha sido la práctica en las reuniones recientes del GAC. La Secretaría del GAC del ACIG ha elaborado y enviado al GAC los informes entre períodos de sesiones.</w:t>
      </w:r>
    </w:p>
    <w:p w14:paraId="29E29033" w14:textId="27AC6DA6" w:rsidR="00C40474" w:rsidRDefault="00C40474" w:rsidP="00C40474">
      <w:pPr>
        <w:pStyle w:val="Textoindependiente"/>
        <w:ind w:right="545"/>
      </w:pPr>
      <w:r>
        <w:t xml:space="preserve">Los nominados del GAC para el CCWG son: Argentina, Brasil, Canadá, Dinamarca e Irán. </w:t>
      </w:r>
    </w:p>
    <w:p w14:paraId="1567A125" w14:textId="05040222" w:rsidR="00831E94" w:rsidRPr="00367D10" w:rsidRDefault="00A92158" w:rsidP="00367D10">
      <w:pPr>
        <w:pStyle w:val="Textoindependiente"/>
        <w:numPr>
          <w:ilvl w:val="0"/>
          <w:numId w:val="16"/>
        </w:numPr>
        <w:ind w:right="545"/>
        <w:rPr>
          <w:b/>
          <w:color w:val="2E74B5" w:themeColor="accent1" w:themeShade="BF"/>
        </w:rPr>
      </w:pPr>
      <w:r>
        <w:rPr>
          <w:b/>
          <w:color w:val="2E74B5" w:themeColor="accent1" w:themeShade="BF"/>
        </w:rPr>
        <w:t>Informe Final preliminar y recomendaciones</w:t>
      </w:r>
    </w:p>
    <w:p w14:paraId="2F010AA4" w14:textId="62080976" w:rsidR="001D64DD" w:rsidRDefault="00A92158" w:rsidP="00A92158">
      <w:pPr>
        <w:pStyle w:val="Textoindependiente"/>
        <w:ind w:right="545"/>
      </w:pPr>
      <w:r>
        <w:t xml:space="preserve">El CCWG publicó su </w:t>
      </w:r>
      <w:hyperlink r:id="rId9" w:history="1">
        <w:r>
          <w:rPr>
            <w:rStyle w:val="Hipervnculo"/>
          </w:rPr>
          <w:t>Informe Final</w:t>
        </w:r>
      </w:hyperlink>
      <w:r>
        <w:t xml:space="preserve">, incluidas las recomendaciones, para comentario público del 30 de marzo al 11 de mayo de 2018. En teoría, esto se limitó a identificar incongruencias </w:t>
      </w:r>
      <w:proofErr w:type="gramStart"/>
      <w:r>
        <w:t>entre</w:t>
      </w:r>
      <w:proofErr w:type="gramEnd"/>
      <w:r>
        <w:t xml:space="preserve"> las recomendaciones. Esto se debió a que el CCWG no puede volver a abrir cuestiones sustanciales dado que debe finalizar su trabajo para junio de 2018.</w:t>
      </w:r>
    </w:p>
    <w:p w14:paraId="7CA01744" w14:textId="2AED4177" w:rsidR="00D97BFC" w:rsidRDefault="00D97BFC" w:rsidP="00A92158">
      <w:pPr>
        <w:pStyle w:val="Textoindependiente"/>
        <w:ind w:right="545"/>
      </w:pPr>
      <w:r>
        <w:t>Un miembro del GAC (Francia) presentó comentarios públicos sobre la diversidad y la jurisdicción.</w:t>
      </w:r>
    </w:p>
    <w:p w14:paraId="6AF533F1" w14:textId="7712FF68" w:rsidR="00D97BFC" w:rsidRDefault="00D97BFC" w:rsidP="00A92158">
      <w:pPr>
        <w:pStyle w:val="Textoindependiente"/>
        <w:ind w:right="545"/>
      </w:pPr>
      <w:r>
        <w:t>La Junta de la ICANN tiene inquietudes acerca de algunas recomendaciones. Al momento de preparar este documento informativo, las mismas aún estaban siendo debatidas con los copresidentes del CCWG. El objetivo es desarrollar “pautas para la implementación” para abordar las inquietudes de la Junta sin cambiar las recomendaciones.</w:t>
      </w:r>
    </w:p>
    <w:p w14:paraId="67BBBBA0" w14:textId="070963C3" w:rsidR="00367D10" w:rsidRDefault="00A10D81" w:rsidP="00A92158">
      <w:pPr>
        <w:pStyle w:val="Textoindependiente"/>
        <w:ind w:right="545"/>
      </w:pPr>
      <w:r>
        <w:t>La situación con las recomendaciones tal como fueron acordadas por el CCWG y publicadas para comentario público es la siguiente:</w:t>
      </w:r>
    </w:p>
    <w:tbl>
      <w:tblPr>
        <w:tblStyle w:val="Tablaconcuadrcula"/>
        <w:tblW w:w="0" w:type="auto"/>
        <w:tblLook w:val="04A0" w:firstRow="1" w:lastRow="0" w:firstColumn="1" w:lastColumn="0" w:noHBand="0" w:noVBand="1"/>
      </w:tblPr>
      <w:tblGrid>
        <w:gridCol w:w="4803"/>
        <w:gridCol w:w="4804"/>
      </w:tblGrid>
      <w:tr w:rsidR="00A10D81" w14:paraId="2A4359DC" w14:textId="77777777" w:rsidTr="000D1296">
        <w:tc>
          <w:tcPr>
            <w:tcW w:w="4803" w:type="dxa"/>
            <w:shd w:val="clear" w:color="auto" w:fill="BDD6EE" w:themeFill="accent1" w:themeFillTint="66"/>
          </w:tcPr>
          <w:p w14:paraId="2FEF778B" w14:textId="007D909A" w:rsidR="00A10D81" w:rsidRPr="000D1296" w:rsidRDefault="00D97BFC" w:rsidP="00A92158">
            <w:pPr>
              <w:pStyle w:val="Textoindependiente"/>
              <w:ind w:right="545"/>
              <w:rPr>
                <w:b/>
                <w:color w:val="000000" w:themeColor="text1"/>
              </w:rPr>
            </w:pPr>
            <w:r>
              <w:rPr>
                <w:b/>
                <w:color w:val="000000" w:themeColor="text1"/>
              </w:rPr>
              <w:t>Recomendación</w:t>
            </w:r>
          </w:p>
        </w:tc>
        <w:tc>
          <w:tcPr>
            <w:tcW w:w="4804" w:type="dxa"/>
            <w:shd w:val="clear" w:color="auto" w:fill="BDD6EE" w:themeFill="accent1" w:themeFillTint="66"/>
          </w:tcPr>
          <w:p w14:paraId="10C9D6D5" w14:textId="4C802992" w:rsidR="00A10D81" w:rsidRPr="000D1296" w:rsidRDefault="00D97BFC" w:rsidP="00A92158">
            <w:pPr>
              <w:pStyle w:val="Textoindependiente"/>
              <w:ind w:right="545"/>
              <w:rPr>
                <w:b/>
                <w:color w:val="000000" w:themeColor="text1"/>
              </w:rPr>
            </w:pPr>
            <w:r>
              <w:rPr>
                <w:b/>
                <w:color w:val="000000" w:themeColor="text1"/>
              </w:rPr>
              <w:t>Comentario</w:t>
            </w:r>
          </w:p>
        </w:tc>
      </w:tr>
      <w:tr w:rsidR="001A541E" w14:paraId="7268EB83" w14:textId="77777777" w:rsidTr="00A10D81">
        <w:tc>
          <w:tcPr>
            <w:tcW w:w="4803" w:type="dxa"/>
          </w:tcPr>
          <w:p w14:paraId="13F94156" w14:textId="3FE29C2F" w:rsidR="001A541E" w:rsidRPr="002A182A" w:rsidRDefault="001A541E" w:rsidP="00A92158">
            <w:pPr>
              <w:pStyle w:val="Textoindependiente"/>
              <w:ind w:right="545"/>
              <w:rPr>
                <w:b/>
              </w:rPr>
            </w:pPr>
            <w:r>
              <w:rPr>
                <w:b/>
              </w:rPr>
              <w:t>Informe y todas las recomendaciones</w:t>
            </w:r>
          </w:p>
        </w:tc>
        <w:tc>
          <w:tcPr>
            <w:tcW w:w="4804" w:type="dxa"/>
          </w:tcPr>
          <w:p w14:paraId="5C4C33B7" w14:textId="7FCCA3D2" w:rsidR="001A541E" w:rsidRDefault="001A541E" w:rsidP="00A92158">
            <w:pPr>
              <w:pStyle w:val="Textoindependiente"/>
              <w:ind w:right="545"/>
            </w:pPr>
            <w:r>
              <w:t xml:space="preserve">El GAC no ha llegado a un acuerdo sobre ningún aporte de consenso. Algunos miembros del GAC han realizado presentaciones a procesos de comentario público y argumentaron </w:t>
            </w:r>
            <w:r>
              <w:lastRenderedPageBreak/>
              <w:t>puntos de vista individuales al nivel de trabajo del CCWG.</w:t>
            </w:r>
          </w:p>
        </w:tc>
      </w:tr>
      <w:tr w:rsidR="00A10D81" w14:paraId="129D9BD8" w14:textId="77777777" w:rsidTr="00A10D81">
        <w:tc>
          <w:tcPr>
            <w:tcW w:w="4803" w:type="dxa"/>
          </w:tcPr>
          <w:p w14:paraId="31990C05" w14:textId="77777777" w:rsidR="00A10D81" w:rsidRPr="00481C0C" w:rsidRDefault="00D97BFC" w:rsidP="00A92158">
            <w:pPr>
              <w:pStyle w:val="Textoindependiente"/>
              <w:ind w:right="545"/>
              <w:rPr>
                <w:b/>
              </w:rPr>
            </w:pPr>
            <w:r>
              <w:rPr>
                <w:b/>
              </w:rPr>
              <w:lastRenderedPageBreak/>
              <w:t>Diversidad</w:t>
            </w:r>
          </w:p>
          <w:p w14:paraId="576EE518" w14:textId="77777777" w:rsidR="00481C0C" w:rsidRDefault="00481C0C" w:rsidP="00481C0C">
            <w:pPr>
              <w:pStyle w:val="Textoindependiente"/>
              <w:numPr>
                <w:ilvl w:val="0"/>
                <w:numId w:val="14"/>
              </w:numPr>
              <w:ind w:right="545"/>
            </w:pPr>
            <w:r>
              <w:t>Se debe aplicar una definición acordada de diversidad en toda la ICANN.</w:t>
            </w:r>
          </w:p>
          <w:p w14:paraId="5457BC48" w14:textId="77777777" w:rsidR="00481C0C" w:rsidRDefault="00481C0C" w:rsidP="00481C0C">
            <w:pPr>
              <w:pStyle w:val="Textoindependiente"/>
              <w:numPr>
                <w:ilvl w:val="0"/>
                <w:numId w:val="14"/>
              </w:numPr>
              <w:ind w:right="545"/>
            </w:pPr>
            <w:r>
              <w:t>Las SO/AC deben revisar y publicar sus propias iniciativas para mejorar la diversidad interna, con el apoyo de la organización de la ICANN, según corresponda.</w:t>
            </w:r>
          </w:p>
          <w:p w14:paraId="74DB1467" w14:textId="3D925379" w:rsidR="00481C0C" w:rsidRDefault="00481C0C" w:rsidP="00A92158">
            <w:pPr>
              <w:pStyle w:val="Textoindependiente"/>
              <w:ind w:right="545"/>
            </w:pPr>
          </w:p>
        </w:tc>
        <w:tc>
          <w:tcPr>
            <w:tcW w:w="4804" w:type="dxa"/>
          </w:tcPr>
          <w:p w14:paraId="5D1293AB" w14:textId="77777777" w:rsidR="00A10D81" w:rsidRDefault="000D1296" w:rsidP="00A92158">
            <w:pPr>
              <w:pStyle w:val="Textoindependiente"/>
              <w:ind w:right="545"/>
            </w:pPr>
            <w:r>
              <w:rPr>
                <w:b/>
              </w:rPr>
              <w:t>Francia:</w:t>
            </w:r>
            <w:r>
              <w:t xml:space="preserve"> El gobierno francés lamenta que la propuesta para el establecimiento de una “Oficina de Diversidad”, la principal herramienta concreta y ambiciosa para mejorar la diversidad dentro de la ICANN, no haya sido incluida en las recomendaciones del CWG.</w:t>
            </w:r>
          </w:p>
          <w:p w14:paraId="13AA9833" w14:textId="73EF6E0D" w:rsidR="00E15156" w:rsidRDefault="00E15156" w:rsidP="00A92158">
            <w:pPr>
              <w:pStyle w:val="Textoindependiente"/>
              <w:ind w:right="545"/>
            </w:pPr>
            <w:r>
              <w:t>Las propuestas del subgrupo sobre diversidad contienen varios avances, entre ellos, una definición multidimensional de diversidad, datos publicados periódicamente y un sistema para que la comunidad consulte a la ICANN sobre el progreso en diversidad.</w:t>
            </w:r>
            <w:r w:rsidR="006B7BEC">
              <w:rPr>
                <w:rStyle w:val="Refdenotaalpie"/>
              </w:rPr>
              <w:footnoteReference w:id="1"/>
            </w:r>
          </w:p>
        </w:tc>
      </w:tr>
      <w:tr w:rsidR="00A10D81" w14:paraId="11AE53A9" w14:textId="77777777" w:rsidTr="00A10D81">
        <w:tc>
          <w:tcPr>
            <w:tcW w:w="4803" w:type="dxa"/>
          </w:tcPr>
          <w:p w14:paraId="4370739A" w14:textId="650B038A" w:rsidR="00A10D81" w:rsidRPr="002A182A" w:rsidRDefault="00D97BFC" w:rsidP="00A92158">
            <w:pPr>
              <w:pStyle w:val="Textoindependiente"/>
              <w:ind w:right="545"/>
              <w:rPr>
                <w:b/>
              </w:rPr>
            </w:pPr>
            <w:r>
              <w:rPr>
                <w:b/>
              </w:rPr>
              <w:t>Pautas para la conducta de buena fe en la destitución de miembros individuales de la Junta</w:t>
            </w:r>
          </w:p>
        </w:tc>
        <w:tc>
          <w:tcPr>
            <w:tcW w:w="4804" w:type="dxa"/>
          </w:tcPr>
          <w:p w14:paraId="4C0FB562" w14:textId="278D0335" w:rsidR="00A10D81" w:rsidRDefault="001A541E" w:rsidP="00A92158">
            <w:pPr>
              <w:pStyle w:val="Textoindependiente"/>
              <w:ind w:right="545"/>
            </w:pPr>
            <w:r>
              <w:t>No hay discusión en el GAC.</w:t>
            </w:r>
          </w:p>
        </w:tc>
      </w:tr>
      <w:tr w:rsidR="00A10D81" w14:paraId="158A80C0" w14:textId="77777777" w:rsidTr="00A10D81">
        <w:tc>
          <w:tcPr>
            <w:tcW w:w="4803" w:type="dxa"/>
          </w:tcPr>
          <w:p w14:paraId="5FA1C6D2" w14:textId="77777777" w:rsidR="00A10D81" w:rsidRPr="00E838B6" w:rsidRDefault="00D97BFC" w:rsidP="00A92158">
            <w:pPr>
              <w:pStyle w:val="Textoindependiente"/>
              <w:ind w:right="545"/>
              <w:rPr>
                <w:b/>
              </w:rPr>
            </w:pPr>
            <w:r>
              <w:rPr>
                <w:b/>
              </w:rPr>
              <w:t>Marco de Interpretación de Derechos Humanos</w:t>
            </w:r>
          </w:p>
          <w:p w14:paraId="67CC32D0" w14:textId="1BBCB75B" w:rsidR="00481C0C" w:rsidRDefault="00E838B6" w:rsidP="00A92158">
            <w:pPr>
              <w:pStyle w:val="Textoindependiente"/>
              <w:numPr>
                <w:ilvl w:val="0"/>
                <w:numId w:val="15"/>
              </w:numPr>
              <w:ind w:right="545"/>
            </w:pPr>
            <w:r>
              <w:t>La ICANN debe aplicar un Marco Propuesto de Interpretación y Consideraciones sobre el Estatuto de Derechos Humanos de la ICANN.</w:t>
            </w:r>
          </w:p>
        </w:tc>
        <w:tc>
          <w:tcPr>
            <w:tcW w:w="4804" w:type="dxa"/>
          </w:tcPr>
          <w:p w14:paraId="1FC64D26" w14:textId="19864B13" w:rsidR="00A10D81" w:rsidRDefault="001A541E" w:rsidP="00A92158">
            <w:pPr>
              <w:pStyle w:val="Textoindependiente"/>
              <w:ind w:right="545"/>
            </w:pPr>
            <w:r>
              <w:t>No hay discusión sustancial en el GAC.</w:t>
            </w:r>
          </w:p>
        </w:tc>
      </w:tr>
      <w:tr w:rsidR="00A10D81" w14:paraId="5E01705A" w14:textId="77777777" w:rsidTr="00A10D81">
        <w:tc>
          <w:tcPr>
            <w:tcW w:w="4803" w:type="dxa"/>
          </w:tcPr>
          <w:p w14:paraId="6B64FF36" w14:textId="77777777" w:rsidR="00A10D81" w:rsidRPr="00481C0C" w:rsidRDefault="00D97BFC" w:rsidP="00A92158">
            <w:pPr>
              <w:pStyle w:val="Textoindependiente"/>
              <w:ind w:right="545"/>
              <w:rPr>
                <w:b/>
              </w:rPr>
            </w:pPr>
            <w:r>
              <w:rPr>
                <w:b/>
              </w:rPr>
              <w:t>Jurisdicción</w:t>
            </w:r>
          </w:p>
          <w:p w14:paraId="00A082A5" w14:textId="77777777" w:rsidR="00481C0C" w:rsidRDefault="00481C0C" w:rsidP="00481C0C">
            <w:pPr>
              <w:pStyle w:val="Textoindependiente"/>
              <w:numPr>
                <w:ilvl w:val="0"/>
                <w:numId w:val="13"/>
              </w:numPr>
              <w:ind w:right="545"/>
            </w:pPr>
            <w:r>
              <w:t>La ICANN debe ser proactiva para facilitar licencias de la OFAC.</w:t>
            </w:r>
          </w:p>
          <w:p w14:paraId="28C0AE63" w14:textId="605BC2AF" w:rsidR="00481C0C" w:rsidRDefault="00481C0C" w:rsidP="00481C0C">
            <w:pPr>
              <w:pStyle w:val="Textoindependiente"/>
              <w:numPr>
                <w:ilvl w:val="0"/>
                <w:numId w:val="13"/>
              </w:numPr>
              <w:ind w:right="545"/>
            </w:pPr>
            <w:r>
              <w:t>Se respalda un enfoque de “menú” para permitir que las partes de los acuerdos de la ICANN elijan la legislación aplicable antes de celebrar un contrato; si bien hay otras opciones.</w:t>
            </w:r>
          </w:p>
          <w:p w14:paraId="7D7A0656" w14:textId="414EA1C3" w:rsidR="00481C0C" w:rsidRDefault="00481C0C" w:rsidP="00A92158">
            <w:pPr>
              <w:pStyle w:val="Textoindependiente"/>
              <w:ind w:right="545"/>
            </w:pPr>
          </w:p>
        </w:tc>
        <w:tc>
          <w:tcPr>
            <w:tcW w:w="4804" w:type="dxa"/>
          </w:tcPr>
          <w:p w14:paraId="3C8CBD87" w14:textId="6428CAFC" w:rsidR="00A10D81" w:rsidRDefault="000D1296" w:rsidP="00A92158">
            <w:pPr>
              <w:pStyle w:val="Textoindependiente"/>
              <w:ind w:right="545"/>
            </w:pPr>
            <w:r>
              <w:rPr>
                <w:b/>
              </w:rPr>
              <w:t>Francia:</w:t>
            </w:r>
            <w:r>
              <w:t xml:space="preserve"> Teniendo en cuenta los fuertes desacuerdos dentro del subgrupo, el gobierno francés alienta a los miembros del subgrupo a explorar nuevas vías para incorporar inmunidades, incluidas inmunidades parciales, de jurisdicción a fin de garantizar su independencia y responsabilidad a todos los miembros de la comunidad internacional de Internet.</w:t>
            </w:r>
            <w:r w:rsidR="00927979">
              <w:rPr>
                <w:rStyle w:val="Refdenotaalpie"/>
              </w:rPr>
              <w:footnoteReference w:id="2"/>
            </w:r>
          </w:p>
          <w:p w14:paraId="4D52011C" w14:textId="2B7EF4AA" w:rsidR="00927979" w:rsidRDefault="00927979" w:rsidP="00A92158">
            <w:pPr>
              <w:pStyle w:val="Textoindependiente"/>
              <w:ind w:right="545"/>
            </w:pPr>
            <w:r>
              <w:rPr>
                <w:b/>
              </w:rPr>
              <w:t>Brasil:</w:t>
            </w:r>
            <w:r>
              <w:t xml:space="preserve"> Debería haber tiempo suficiente para que el GAC debata las recomendaciones sobre jurisdicción y llegue a una posición si es posible.</w:t>
            </w:r>
            <w:r w:rsidR="00E15156">
              <w:rPr>
                <w:rStyle w:val="Refdenotaalpie"/>
              </w:rPr>
              <w:footnoteReference w:id="3"/>
            </w:r>
          </w:p>
        </w:tc>
      </w:tr>
      <w:tr w:rsidR="00A10D81" w14:paraId="3AEE549B" w14:textId="77777777" w:rsidTr="00A10D81">
        <w:tc>
          <w:tcPr>
            <w:tcW w:w="4803" w:type="dxa"/>
          </w:tcPr>
          <w:p w14:paraId="78401D16" w14:textId="4B12F40D" w:rsidR="00A10D81" w:rsidRPr="002A182A" w:rsidRDefault="00D97BFC" w:rsidP="00A92158">
            <w:pPr>
              <w:pStyle w:val="Textoindependiente"/>
              <w:ind w:right="545"/>
              <w:rPr>
                <w:b/>
              </w:rPr>
            </w:pPr>
            <w:r>
              <w:rPr>
                <w:b/>
              </w:rPr>
              <w:lastRenderedPageBreak/>
              <w:t>Defensor del Pueblo de la ICANN</w:t>
            </w:r>
          </w:p>
        </w:tc>
        <w:tc>
          <w:tcPr>
            <w:tcW w:w="4804" w:type="dxa"/>
          </w:tcPr>
          <w:p w14:paraId="4EA8C084" w14:textId="51C81E47" w:rsidR="00A10D81" w:rsidRDefault="001A541E" w:rsidP="00A92158">
            <w:pPr>
              <w:pStyle w:val="Textoindependiente"/>
              <w:ind w:right="545"/>
            </w:pPr>
            <w:r>
              <w:t>No hay discusión sustancial en el GAC.</w:t>
            </w:r>
          </w:p>
        </w:tc>
      </w:tr>
      <w:tr w:rsidR="00A10D81" w14:paraId="131598E2" w14:textId="77777777" w:rsidTr="00A10D81">
        <w:tc>
          <w:tcPr>
            <w:tcW w:w="4803" w:type="dxa"/>
          </w:tcPr>
          <w:p w14:paraId="398EB55E" w14:textId="26A70DCD" w:rsidR="00A10D81" w:rsidRPr="00481C0C" w:rsidRDefault="00D97BFC" w:rsidP="00A92158">
            <w:pPr>
              <w:pStyle w:val="Textoindependiente"/>
              <w:ind w:right="545"/>
              <w:rPr>
                <w:b/>
              </w:rPr>
            </w:pPr>
            <w:r>
              <w:rPr>
                <w:b/>
              </w:rPr>
              <w:t>Responsabilidad de SO/AC</w:t>
            </w:r>
          </w:p>
          <w:p w14:paraId="32D096C4" w14:textId="4EDEA511" w:rsidR="00481C0C" w:rsidRDefault="00481C0C" w:rsidP="00481C0C">
            <w:pPr>
              <w:pStyle w:val="Textoindependiente"/>
              <w:numPr>
                <w:ilvl w:val="0"/>
                <w:numId w:val="15"/>
              </w:numPr>
              <w:ind w:right="545"/>
            </w:pPr>
            <w:r>
              <w:t>Las organizaciones de apoyo y comités asesores implementarán buenas prácticas recomendadas (donde resulte aplicable para su estructura y propósito) con respecto a la responsabilidad, transparencia, participación, difusión y alcance, y actualizaciones a las reglas y los procedimientos.</w:t>
            </w:r>
          </w:p>
          <w:p w14:paraId="6430912D" w14:textId="68F5D239" w:rsidR="00481C0C" w:rsidRDefault="00481C0C" w:rsidP="00A92158">
            <w:pPr>
              <w:pStyle w:val="Textoindependiente"/>
              <w:ind w:right="545"/>
            </w:pPr>
          </w:p>
        </w:tc>
        <w:tc>
          <w:tcPr>
            <w:tcW w:w="4804" w:type="dxa"/>
          </w:tcPr>
          <w:p w14:paraId="363E6781" w14:textId="369B0A3E" w:rsidR="00A10D81" w:rsidRDefault="002B5CC4" w:rsidP="00A92158">
            <w:pPr>
              <w:pStyle w:val="Textoindependiente"/>
              <w:ind w:right="545"/>
            </w:pPr>
            <w:r>
              <w:t>No hay discusión sustancial en el GAC.</w:t>
            </w:r>
          </w:p>
        </w:tc>
      </w:tr>
      <w:tr w:rsidR="00A10D81" w14:paraId="10C269E3" w14:textId="77777777" w:rsidTr="00A10D81">
        <w:tc>
          <w:tcPr>
            <w:tcW w:w="4803" w:type="dxa"/>
          </w:tcPr>
          <w:p w14:paraId="3E96C17C" w14:textId="7E294E4F" w:rsidR="00A10D81" w:rsidRPr="002A182A" w:rsidRDefault="00481C0C" w:rsidP="00A92158">
            <w:pPr>
              <w:pStyle w:val="Textoindependiente"/>
              <w:ind w:right="545"/>
              <w:rPr>
                <w:b/>
              </w:rPr>
            </w:pPr>
            <w:r>
              <w:rPr>
                <w:b/>
              </w:rPr>
              <w:t>Responsabilidad del personal</w:t>
            </w:r>
          </w:p>
        </w:tc>
        <w:tc>
          <w:tcPr>
            <w:tcW w:w="4804" w:type="dxa"/>
          </w:tcPr>
          <w:p w14:paraId="38899268" w14:textId="6A121DB3" w:rsidR="00A10D81" w:rsidRDefault="001A541E" w:rsidP="00A92158">
            <w:pPr>
              <w:pStyle w:val="Textoindependiente"/>
              <w:ind w:right="545"/>
            </w:pPr>
            <w:r>
              <w:t>No hay discusión en el GAC.</w:t>
            </w:r>
          </w:p>
        </w:tc>
      </w:tr>
      <w:tr w:rsidR="00A10D81" w14:paraId="16710921" w14:textId="77777777" w:rsidTr="00A10D81">
        <w:tc>
          <w:tcPr>
            <w:tcW w:w="4803" w:type="dxa"/>
          </w:tcPr>
          <w:p w14:paraId="681053DA" w14:textId="71C9326F" w:rsidR="00A10D81" w:rsidRPr="00481C0C" w:rsidRDefault="00D97BFC" w:rsidP="00A92158">
            <w:pPr>
              <w:pStyle w:val="Textoindependiente"/>
              <w:ind w:right="545"/>
              <w:rPr>
                <w:b/>
              </w:rPr>
            </w:pPr>
            <w:r>
              <w:rPr>
                <w:b/>
              </w:rPr>
              <w:t>Transparencia de la ICANN</w:t>
            </w:r>
          </w:p>
          <w:p w14:paraId="38969D45" w14:textId="77777777" w:rsidR="00481C0C" w:rsidRDefault="00481C0C" w:rsidP="00481C0C">
            <w:pPr>
              <w:pStyle w:val="Textoindependiente"/>
              <w:numPr>
                <w:ilvl w:val="0"/>
                <w:numId w:val="15"/>
              </w:numPr>
              <w:ind w:right="545"/>
            </w:pPr>
            <w:r>
              <w:t>La ICANN debe divulgar de forma periódica y pública su interacción con los gobiernos.</w:t>
            </w:r>
          </w:p>
          <w:p w14:paraId="0D64F598" w14:textId="1A2FC57A" w:rsidR="00481C0C" w:rsidRDefault="00481C0C" w:rsidP="00A92158">
            <w:pPr>
              <w:pStyle w:val="Textoindependiente"/>
              <w:numPr>
                <w:ilvl w:val="0"/>
                <w:numId w:val="15"/>
              </w:numPr>
              <w:ind w:right="545"/>
            </w:pPr>
            <w:r>
              <w:t>La ICANN debe mejorar su divulgación de la información y los acuerdos con denunciantes.</w:t>
            </w:r>
          </w:p>
        </w:tc>
        <w:tc>
          <w:tcPr>
            <w:tcW w:w="4804" w:type="dxa"/>
          </w:tcPr>
          <w:p w14:paraId="752E90AC" w14:textId="320E5418" w:rsidR="00A10D81" w:rsidRDefault="002B5CC4" w:rsidP="00A92158">
            <w:pPr>
              <w:pStyle w:val="Textoindependiente"/>
              <w:ind w:right="545"/>
            </w:pPr>
            <w:r>
              <w:t>No hay discusión en el GAC.</w:t>
            </w:r>
          </w:p>
        </w:tc>
      </w:tr>
    </w:tbl>
    <w:p w14:paraId="565591CE" w14:textId="5CC3E9BD" w:rsidR="001D64DD" w:rsidRDefault="001D64DD" w:rsidP="001D64DD">
      <w:pPr>
        <w:pStyle w:val="Textoindependiente"/>
        <w:ind w:right="545"/>
      </w:pPr>
    </w:p>
    <w:p w14:paraId="084AABDB" w14:textId="3A95B1FA" w:rsidR="001D64DD" w:rsidRPr="001A541E" w:rsidRDefault="00E00260" w:rsidP="001A541E">
      <w:pPr>
        <w:pStyle w:val="Textoindependiente"/>
        <w:numPr>
          <w:ilvl w:val="0"/>
          <w:numId w:val="16"/>
        </w:numPr>
        <w:ind w:right="545"/>
        <w:rPr>
          <w:b/>
          <w:color w:val="2E74B5" w:themeColor="accent1" w:themeShade="BF"/>
        </w:rPr>
      </w:pPr>
      <w:r>
        <w:rPr>
          <w:b/>
          <w:color w:val="2E74B5" w:themeColor="accent1" w:themeShade="BF"/>
        </w:rPr>
        <w:t xml:space="preserve">Posición del GAC como organización estatutaria del CCWG </w:t>
      </w:r>
    </w:p>
    <w:p w14:paraId="5171B0E4" w14:textId="698FDF6F" w:rsidR="00352E3D" w:rsidRDefault="007F0696" w:rsidP="00352E3D">
      <w:pPr>
        <w:pStyle w:val="Textoindependiente"/>
        <w:ind w:right="545"/>
      </w:pPr>
      <w:r>
        <w:t xml:space="preserve">El GAC (junto con otras SO/AC) es una organización estatutaria de este CCWG. La </w:t>
      </w:r>
      <w:hyperlink r:id="rId10" w:history="1">
        <w:r>
          <w:rPr>
            <w:rStyle w:val="Hipervnculo"/>
          </w:rPr>
          <w:t>carta orgánica</w:t>
        </w:r>
      </w:hyperlink>
      <w:r>
        <w:t xml:space="preserve"> estipula que: </w:t>
      </w:r>
      <w:r>
        <w:rPr>
          <w:i/>
        </w:rPr>
        <w:t>“...cada una de las organizaciones estatutarias deberá, de conformidad con sus propios procedimientos y reglas, revisar y analizar dicha propuesta y decidir si adoptarán las recomendaciones incluidas en ella”.</w:t>
      </w:r>
    </w:p>
    <w:p w14:paraId="59B41F0B" w14:textId="4AC105B8" w:rsidR="00352E3D" w:rsidRDefault="00F80CBA" w:rsidP="00352E3D">
      <w:pPr>
        <w:pStyle w:val="Textoindependiente"/>
        <w:ind w:right="545"/>
      </w:pPr>
      <w:r>
        <w:t>El GAC tiene diversas opciones posibles para responder:</w:t>
      </w:r>
    </w:p>
    <w:p w14:paraId="6A052E3F" w14:textId="089BCF3B" w:rsidR="00E5754C" w:rsidRDefault="00E5754C" w:rsidP="00E5754C">
      <w:pPr>
        <w:pStyle w:val="Textoindependiente"/>
        <w:numPr>
          <w:ilvl w:val="0"/>
          <w:numId w:val="18"/>
        </w:numPr>
        <w:ind w:right="545"/>
      </w:pPr>
      <w:r>
        <w:t>Respaldar la adopción de todas las recomendaciones.</w:t>
      </w:r>
    </w:p>
    <w:p w14:paraId="5C69C0FB" w14:textId="14571A6B" w:rsidR="00E5754C" w:rsidRDefault="00E5754C" w:rsidP="00E5754C">
      <w:pPr>
        <w:pStyle w:val="Textoindependiente"/>
        <w:numPr>
          <w:ilvl w:val="0"/>
          <w:numId w:val="18"/>
        </w:numPr>
        <w:ind w:right="545"/>
      </w:pPr>
      <w:r>
        <w:t>Indicar áreas específicas de desacuerdo y proponer alternativas. Esto podría incluir, por ejemplo, cuestiones particulares a ser abordadas como parte del proceso de implementación; o revisión continua de cuestiones controvertidas en otro foro (quizá más simple y que necesite menos recursos).</w:t>
      </w:r>
    </w:p>
    <w:p w14:paraId="412A8102" w14:textId="62D48028" w:rsidR="00F80CBA" w:rsidRDefault="007F0696" w:rsidP="00E5754C">
      <w:pPr>
        <w:pStyle w:val="Textoindependiente"/>
        <w:numPr>
          <w:ilvl w:val="0"/>
          <w:numId w:val="18"/>
        </w:numPr>
        <w:ind w:right="545"/>
      </w:pPr>
      <w:r>
        <w:t xml:space="preserve">Para las recomendaciones del Área de Trabajo 1 del CCWG, el GAC expresó su posición de la siguiente manera: </w:t>
      </w:r>
      <w:r>
        <w:rPr>
          <w:i/>
        </w:rPr>
        <w:t xml:space="preserve">“Mientras que hay delegaciones que han expresado su apoyo a la propuesta, había otras delegaciones que no estaban en condiciones de aprobar la </w:t>
      </w:r>
      <w:r>
        <w:rPr>
          <w:i/>
        </w:rPr>
        <w:lastRenderedPageBreak/>
        <w:t>propuesta en su conjunto. A pesar de esta diferencia de opiniones, el GAC no tiene ninguna objeción a la transmisión de dicha propuesta a la Junta Directiva de la ICANN”.</w:t>
      </w:r>
      <w:r>
        <w:rPr>
          <w:rStyle w:val="Refdenotaalpie"/>
        </w:rPr>
        <w:footnoteReference w:id="4"/>
      </w:r>
    </w:p>
    <w:p w14:paraId="3B2525D7" w14:textId="6E71691F" w:rsidR="001A5355" w:rsidRDefault="00B1475A" w:rsidP="00D10DB6">
      <w:pPr>
        <w:pStyle w:val="Ttulo2"/>
      </w:pPr>
      <w:r>
        <w:t>Posición actual</w:t>
      </w:r>
    </w:p>
    <w:p w14:paraId="4D89A73C" w14:textId="77777777" w:rsidR="002A182A" w:rsidRDefault="002A182A" w:rsidP="00E838B6">
      <w:pPr>
        <w:pStyle w:val="Textoindependiente"/>
      </w:pPr>
      <w:r>
        <w:t>Al momento de elaboración de este documento informativo:</w:t>
      </w:r>
    </w:p>
    <w:p w14:paraId="1502D2F7" w14:textId="6009F9B4" w:rsidR="00207ED8" w:rsidRDefault="002A182A" w:rsidP="002A182A">
      <w:pPr>
        <w:pStyle w:val="Textoindependiente"/>
        <w:numPr>
          <w:ilvl w:val="0"/>
          <w:numId w:val="19"/>
        </w:numPr>
      </w:pPr>
      <w:r>
        <w:t>Los copresidentes del CCWG aún estaban revisando las inquietudes de la Junta de la ICANN.</w:t>
      </w:r>
    </w:p>
    <w:p w14:paraId="1E440D17" w14:textId="46B9767A" w:rsidR="002A182A" w:rsidRDefault="002A182A" w:rsidP="002A182A">
      <w:pPr>
        <w:pStyle w:val="Textoindependiente"/>
        <w:numPr>
          <w:ilvl w:val="0"/>
          <w:numId w:val="19"/>
        </w:numPr>
      </w:pPr>
      <w:r>
        <w:t>Los acuerdos para el Informe y las recomendaciones a presentarse a las organizaciones estatutarias para consideración no se habían finalizado.</w:t>
      </w:r>
    </w:p>
    <w:p w14:paraId="3B466CDB" w14:textId="1EF1531D" w:rsidR="00D10DB6" w:rsidRDefault="00D10DB6" w:rsidP="000F5927">
      <w:pPr>
        <w:widowControl w:val="0"/>
        <w:autoSpaceDE w:val="0"/>
        <w:autoSpaceDN w:val="0"/>
        <w:adjustRightInd w:val="0"/>
        <w:spacing w:after="200" w:line="276" w:lineRule="auto"/>
        <w:ind w:right="545"/>
        <w:jc w:val="both"/>
        <w:rPr>
          <w:rFonts w:ascii="Century Gothic" w:eastAsia="Calibri" w:hAnsi="Century Gothic" w:cs="Century Gothic"/>
          <w:sz w:val="20"/>
          <w:szCs w:val="20"/>
          <w:lang w:eastAsia="en-AU"/>
        </w:rPr>
      </w:pPr>
    </w:p>
    <w:p w14:paraId="03097BF6" w14:textId="5FBAE542" w:rsidR="00D10DB6" w:rsidRDefault="00D10DB6" w:rsidP="00D10DB6">
      <w:pPr>
        <w:pStyle w:val="Ttulo2"/>
      </w:pPr>
      <w:r>
        <w:t>Información adicional</w:t>
      </w:r>
    </w:p>
    <w:p w14:paraId="7C0ED2D3" w14:textId="2535D3AD" w:rsidR="00D10DB6" w:rsidRPr="00D10DB6" w:rsidRDefault="00D10DB6" w:rsidP="00D10DB6">
      <w:pPr>
        <w:pStyle w:val="Textoindependiente"/>
        <w:rPr>
          <w:rStyle w:val="Hipervnculo"/>
        </w:rPr>
      </w:pPr>
      <w:r>
        <w:fldChar w:fldCharType="begin"/>
      </w:r>
      <w:r>
        <w:instrText xml:space="preserve"> HYPERLINK "https://community.icann.org/display/WEIA/WS2+-+Enhancing+ICANN+Accountability+Home" </w:instrText>
      </w:r>
      <w:r>
        <w:fldChar w:fldCharType="separate"/>
      </w:r>
      <w:r>
        <w:rPr>
          <w:rStyle w:val="Hipervnculo"/>
        </w:rPr>
        <w:t>Área de trabajo 2 (WS2) del CCWG sobre Responsabilidad</w:t>
      </w:r>
    </w:p>
    <w:p w14:paraId="1FF9F184" w14:textId="3F2A66EA" w:rsidR="00D10DB6" w:rsidRPr="00D10DB6" w:rsidRDefault="00D10DB6" w:rsidP="00D10DB6">
      <w:pPr>
        <w:pStyle w:val="Textoindependiente"/>
        <w:rPr>
          <w:rStyle w:val="Hipervnculo"/>
        </w:rPr>
      </w:pPr>
      <w:r>
        <w:fldChar w:fldCharType="end"/>
      </w:r>
      <w:r>
        <w:fldChar w:fldCharType="begin"/>
      </w:r>
      <w:r>
        <w:instrText xml:space="preserve"> HYPERLINK "https://community.icann.org/display/WEIA/Jurisdiction" </w:instrText>
      </w:r>
      <w:r>
        <w:fldChar w:fldCharType="separate"/>
      </w:r>
      <w:r>
        <w:rPr>
          <w:rStyle w:val="Hipervnculo"/>
        </w:rPr>
        <w:t>Subgrupo sobre Jurisdicción del CCWG sobre Responsabilidad</w:t>
      </w:r>
    </w:p>
    <w:p w14:paraId="2A6D99FC" w14:textId="20913CA6" w:rsidR="00D10DB6" w:rsidRDefault="00D10DB6" w:rsidP="00D10DB6">
      <w:pPr>
        <w:widowControl w:val="0"/>
        <w:autoSpaceDE w:val="0"/>
        <w:autoSpaceDN w:val="0"/>
        <w:adjustRightInd w:val="0"/>
        <w:ind w:right="545"/>
        <w:jc w:val="both"/>
        <w:rPr>
          <w:rFonts w:ascii="Century Gothic" w:eastAsia="Calibri" w:hAnsi="Century Gothic"/>
          <w:sz w:val="20"/>
          <w:szCs w:val="22"/>
        </w:rPr>
      </w:pPr>
      <w:r>
        <w:rPr>
          <w:rFonts w:ascii="Century Gothic" w:eastAsia="Calibri" w:hAnsi="Century Gothic"/>
          <w:sz w:val="20"/>
          <w:szCs w:val="22"/>
        </w:rPr>
        <w:fldChar w:fldCharType="end"/>
      </w:r>
      <w:hyperlink r:id="rId11" w:history="1">
        <w:r>
          <w:rPr>
            <w:rStyle w:val="Hipervnculo"/>
            <w:rFonts w:ascii="Century Gothic" w:hAnsi="Century Gothic"/>
            <w:sz w:val="20"/>
            <w:szCs w:val="22"/>
          </w:rPr>
          <w:t>Subgrupo sobre Diversidad del CCWG sobre Responsabilidad</w:t>
        </w:r>
      </w:hyperlink>
    </w:p>
    <w:p w14:paraId="18B97190" w14:textId="047FE81C" w:rsidR="00C77E9F" w:rsidRDefault="005225C3" w:rsidP="00D10DB6">
      <w:pPr>
        <w:widowControl w:val="0"/>
        <w:autoSpaceDE w:val="0"/>
        <w:autoSpaceDN w:val="0"/>
        <w:adjustRightInd w:val="0"/>
        <w:spacing w:after="200" w:line="276" w:lineRule="auto"/>
        <w:ind w:right="545"/>
        <w:jc w:val="both"/>
        <w:rPr>
          <w:rFonts w:ascii="Century Gothic" w:eastAsia="Calibri" w:hAnsi="Century Gothic"/>
          <w:sz w:val="20"/>
          <w:szCs w:val="22"/>
        </w:rPr>
      </w:pPr>
      <w:hyperlink r:id="rId12" w:history="1">
        <w:r w:rsidR="00696FFE">
          <w:rPr>
            <w:rStyle w:val="Hipervnculo"/>
            <w:rFonts w:ascii="Century Gothic" w:hAnsi="Century Gothic"/>
            <w:sz w:val="20"/>
            <w:szCs w:val="22"/>
          </w:rPr>
          <w:t>Subgrupo sobre Derechos Humanos del CCWG sobre Responsabilidad</w:t>
        </w:r>
      </w:hyperlink>
    </w:p>
    <w:p w14:paraId="0BFFDDDE" w14:textId="7A345739" w:rsidR="00C77E9F" w:rsidRDefault="005225C3" w:rsidP="00D10DB6">
      <w:pPr>
        <w:widowControl w:val="0"/>
        <w:autoSpaceDE w:val="0"/>
        <w:autoSpaceDN w:val="0"/>
        <w:adjustRightInd w:val="0"/>
        <w:spacing w:after="200" w:line="276" w:lineRule="auto"/>
        <w:ind w:right="545"/>
        <w:jc w:val="both"/>
        <w:rPr>
          <w:rFonts w:ascii="Century Gothic" w:eastAsia="Calibri" w:hAnsi="Century Gothic"/>
          <w:sz w:val="20"/>
          <w:szCs w:val="22"/>
        </w:rPr>
      </w:pPr>
      <w:hyperlink r:id="rId13" w:history="1">
        <w:r w:rsidR="00696FFE">
          <w:rPr>
            <w:rStyle w:val="Hipervnculo"/>
            <w:rFonts w:ascii="Century Gothic" w:hAnsi="Century Gothic"/>
            <w:sz w:val="20"/>
            <w:szCs w:val="22"/>
          </w:rPr>
          <w:t>Subgrupo sobre Responsabilidad de SO/AC del CCWG sobre Responsabilidad</w:t>
        </w:r>
      </w:hyperlink>
    </w:p>
    <w:p w14:paraId="5D147C92" w14:textId="77777777" w:rsidR="00D10DB6" w:rsidRPr="006C7A49"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75FBDFE7" w14:textId="77777777" w:rsidR="00D10DB6" w:rsidRPr="006C7A49"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5AC98C37" w14:textId="77777777" w:rsidR="00D10DB6" w:rsidRPr="006C7A49"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0114F805" w14:textId="77777777" w:rsidR="00D10DB6" w:rsidRPr="006C7A49"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1C7B89B9" w14:textId="77777777" w:rsidR="00D10DB6" w:rsidRDefault="00D10DB6" w:rsidP="00D10DB6">
      <w:pPr>
        <w:pStyle w:val="Ttulo2"/>
      </w:pPr>
      <w:bookmarkStart w:id="1" w:name="_Hlk484433727"/>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D10DB6" w:rsidRPr="003F43E3" w14:paraId="78B133EA" w14:textId="77777777" w:rsidTr="00A30382">
        <w:tc>
          <w:tcPr>
            <w:tcW w:w="3261" w:type="dxa"/>
            <w:vAlign w:val="center"/>
          </w:tcPr>
          <w:p w14:paraId="4A5F30A2"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Título</w:t>
            </w:r>
          </w:p>
        </w:tc>
        <w:tc>
          <w:tcPr>
            <w:tcW w:w="5811" w:type="dxa"/>
            <w:vAlign w:val="center"/>
          </w:tcPr>
          <w:p w14:paraId="40D9A58F" w14:textId="274AF380" w:rsidR="00D10DB6" w:rsidRPr="00EA3A02" w:rsidRDefault="00C77E9F" w:rsidP="00D10DB6">
            <w:pPr>
              <w:ind w:right="545"/>
              <w:rPr>
                <w:rFonts w:ascii="Century Gothic" w:eastAsiaTheme="minorEastAsia" w:hAnsi="Century Gothic" w:cstheme="minorBidi"/>
                <w:sz w:val="20"/>
                <w:szCs w:val="20"/>
              </w:rPr>
            </w:pPr>
            <w:r>
              <w:rPr>
                <w:rFonts w:ascii="Century Gothic" w:hAnsi="Century Gothic"/>
                <w:sz w:val="20"/>
                <w:szCs w:val="20"/>
              </w:rPr>
              <w:t>Actualización del WS2 del CCWG sobre Responsabilidad</w:t>
            </w:r>
          </w:p>
        </w:tc>
      </w:tr>
      <w:tr w:rsidR="00D10DB6" w:rsidRPr="003F43E3" w14:paraId="3293C14D" w14:textId="77777777" w:rsidTr="00A30382">
        <w:tc>
          <w:tcPr>
            <w:tcW w:w="3261" w:type="dxa"/>
            <w:vAlign w:val="center"/>
          </w:tcPr>
          <w:p w14:paraId="248CAC85"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Distribución</w:t>
            </w:r>
          </w:p>
        </w:tc>
        <w:tc>
          <w:tcPr>
            <w:tcW w:w="5811" w:type="dxa"/>
            <w:vAlign w:val="center"/>
          </w:tcPr>
          <w:p w14:paraId="43C3334C" w14:textId="77777777" w:rsidR="00D10DB6" w:rsidRPr="003F43E3" w:rsidRDefault="00D10DB6" w:rsidP="00A30382">
            <w:pPr>
              <w:ind w:right="545"/>
              <w:rPr>
                <w:rFonts w:ascii="Century Gothic" w:eastAsiaTheme="minorEastAsia" w:hAnsi="Century Gothic" w:cstheme="minorBidi"/>
                <w:sz w:val="20"/>
                <w:szCs w:val="20"/>
              </w:rPr>
            </w:pPr>
            <w:r>
              <w:rPr>
                <w:rFonts w:ascii="Century Gothic" w:hAnsi="Century Gothic"/>
                <w:sz w:val="20"/>
                <w:szCs w:val="20"/>
              </w:rPr>
              <w:t>Miembros del GAC</w:t>
            </w:r>
          </w:p>
        </w:tc>
      </w:tr>
      <w:tr w:rsidR="00D10DB6" w:rsidRPr="003F43E3" w14:paraId="08CDC155" w14:textId="77777777" w:rsidTr="00A30382">
        <w:tc>
          <w:tcPr>
            <w:tcW w:w="3261" w:type="dxa"/>
            <w:vAlign w:val="center"/>
          </w:tcPr>
          <w:p w14:paraId="696B86E1"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Fecha de distribución</w:t>
            </w:r>
          </w:p>
        </w:tc>
        <w:tc>
          <w:tcPr>
            <w:tcW w:w="5811" w:type="dxa"/>
            <w:vAlign w:val="center"/>
          </w:tcPr>
          <w:p w14:paraId="5D2252C2" w14:textId="31843924" w:rsidR="00D10DB6" w:rsidRPr="003F43E3" w:rsidRDefault="00181D77" w:rsidP="00A30382">
            <w:pPr>
              <w:ind w:right="545"/>
              <w:rPr>
                <w:rFonts w:ascii="Century Gothic" w:eastAsiaTheme="minorEastAsia" w:hAnsi="Century Gothic" w:cstheme="minorBidi"/>
                <w:sz w:val="20"/>
                <w:szCs w:val="20"/>
              </w:rPr>
            </w:pPr>
            <w:r>
              <w:rPr>
                <w:rFonts w:ascii="Century Gothic" w:hAnsi="Century Gothic"/>
                <w:sz w:val="20"/>
                <w:szCs w:val="20"/>
              </w:rPr>
              <w:t>7 de junio de 2018</w:t>
            </w:r>
          </w:p>
        </w:tc>
      </w:tr>
      <w:bookmarkEnd w:id="1"/>
    </w:tbl>
    <w:p w14:paraId="5CB2C162" w14:textId="77777777" w:rsidR="00D10DB6" w:rsidRDefault="00D10DB6" w:rsidP="00AA6D42">
      <w:pPr>
        <w:pStyle w:val="Textoindependiente"/>
        <w:ind w:right="545"/>
      </w:pPr>
    </w:p>
    <w:p w14:paraId="1A24273E" w14:textId="77777777" w:rsidR="00EA3A02" w:rsidRDefault="00EA3A02" w:rsidP="00AA6D42">
      <w:pPr>
        <w:pStyle w:val="Textoindependiente"/>
        <w:ind w:right="545"/>
      </w:pPr>
    </w:p>
    <w:sectPr w:rsidR="00EA3A02" w:rsidSect="007A174E">
      <w:headerReference w:type="default" r:id="rId14"/>
      <w:footerReference w:type="default" r:id="rId15"/>
      <w:headerReference w:type="first" r:id="rId16"/>
      <w:footerReference w:type="first" r:id="rId17"/>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DAEAE" w14:textId="77777777" w:rsidR="005225C3" w:rsidRDefault="005225C3" w:rsidP="00A24449">
      <w:r>
        <w:separator/>
      </w:r>
    </w:p>
  </w:endnote>
  <w:endnote w:type="continuationSeparator" w:id="0">
    <w:p w14:paraId="5B2C17D8" w14:textId="77777777" w:rsidR="005225C3" w:rsidRDefault="005225C3"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6EB9D" w14:textId="77777777" w:rsidR="00265E52" w:rsidRDefault="00265E52" w:rsidP="002276FD">
    <w:pPr>
      <w:pStyle w:val="Piedepgina"/>
      <w:ind w:left="-567" w:right="261"/>
    </w:pPr>
  </w:p>
  <w:p w14:paraId="22C9A9EC" w14:textId="16E4EB7E" w:rsidR="00265E52" w:rsidRPr="00B026C8" w:rsidRDefault="00265E52" w:rsidP="00AA6D42">
    <w:pPr>
      <w:pBdr>
        <w:top w:val="single" w:sz="18" w:space="1" w:color="1F497D"/>
      </w:pBdr>
      <w:spacing w:before="240"/>
      <w:ind w:right="545"/>
      <w:rPr>
        <w:rFonts w:ascii="Century Gothic" w:hAnsi="Century Gothic"/>
        <w:color w:val="00408E"/>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rFonts w:ascii="Century Gothic" w:hAnsi="Century Gothic"/>
        <w:color w:val="00408E"/>
        <w:sz w:val="16"/>
        <w:szCs w:val="16"/>
      </w:rPr>
      <w:t xml:space="preserve">Página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6C7A49">
      <w:rPr>
        <w:rFonts w:ascii="Century Gothic" w:hAnsi="Century Gothic"/>
        <w:noProof/>
        <w:color w:val="00408E"/>
        <w:sz w:val="16"/>
        <w:szCs w:val="16"/>
      </w:rPr>
      <w:t>4</w:t>
    </w:r>
    <w:r w:rsidRPr="00B026C8">
      <w:rPr>
        <w:rFonts w:ascii="Century Gothic" w:hAnsi="Century Gothic"/>
        <w:color w:val="00408E"/>
        <w:sz w:val="16"/>
        <w:szCs w:val="16"/>
      </w:rPr>
      <w:fldChar w:fldCharType="end"/>
    </w:r>
    <w:r>
      <w:rPr>
        <w:rFonts w:ascii="Century Gothic" w:hAnsi="Century Gothic"/>
        <w:color w:val="00408E"/>
        <w:sz w:val="16"/>
        <w:szCs w:val="16"/>
      </w:rPr>
      <w:t xml:space="preserve"> de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6C7A49">
      <w:rPr>
        <w:rFonts w:ascii="Century Gothic" w:hAnsi="Century Gothic"/>
        <w:noProof/>
        <w:color w:val="00408E"/>
        <w:sz w:val="16"/>
        <w:szCs w:val="16"/>
      </w:rPr>
      <w:t>4</w:t>
    </w:r>
    <w:r w:rsidRPr="00B026C8">
      <w:rPr>
        <w:rFonts w:ascii="Century Gothic" w:hAnsi="Century Gothic"/>
        <w:color w:val="00408E"/>
        <w:sz w:val="16"/>
        <w:szCs w:val="16"/>
      </w:rPr>
      <w:fldChar w:fldCharType="end"/>
    </w:r>
  </w:p>
  <w:p w14:paraId="2D888BF1" w14:textId="77777777" w:rsidR="00265E52" w:rsidRPr="000C0FD7" w:rsidRDefault="00265E52" w:rsidP="003D7A8D">
    <w:pPr>
      <w:pStyle w:val="Piedepgina"/>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83CC" w14:textId="77777777" w:rsidR="00265E52" w:rsidRPr="00C2562C" w:rsidRDefault="00265E52" w:rsidP="00740F60">
    <w:pPr>
      <w:pBdr>
        <w:top w:val="single" w:sz="18" w:space="1" w:color="1F497D"/>
      </w:pBdr>
      <w:spacing w:before="240"/>
      <w:ind w:right="544"/>
      <w:rPr>
        <w:color w:val="00408E"/>
        <w:sz w:val="2"/>
        <w:szCs w:val="2"/>
      </w:rPr>
    </w:pPr>
  </w:p>
  <w:p w14:paraId="4E0CE35E" w14:textId="77777777" w:rsidR="00265E52" w:rsidRPr="006C7A49" w:rsidRDefault="00265E52" w:rsidP="00740F60">
    <w:pPr>
      <w:pStyle w:val="Sinespaciado"/>
      <w:ind w:right="544"/>
      <w:jc w:val="right"/>
      <w:rPr>
        <w:sz w:val="16"/>
        <w:szCs w:val="16"/>
        <w:lang w:val="en-US"/>
      </w:rPr>
    </w:pPr>
    <w:r w:rsidRPr="006C7A49">
      <w:rPr>
        <w:sz w:val="16"/>
        <w:szCs w:val="16"/>
        <w:lang w:val="en-US"/>
      </w:rPr>
      <w:t xml:space="preserve">203 Drummond Street, Carlton VIC 3053 </w:t>
    </w:r>
  </w:p>
  <w:p w14:paraId="5F7B5C75" w14:textId="77777777" w:rsidR="00265E52" w:rsidRPr="006C7A49" w:rsidRDefault="00265E52" w:rsidP="00740F60">
    <w:pPr>
      <w:pStyle w:val="Sinespaciado"/>
      <w:ind w:right="544"/>
      <w:jc w:val="right"/>
      <w:rPr>
        <w:sz w:val="16"/>
        <w:szCs w:val="16"/>
        <w:lang w:val="en-US"/>
      </w:rPr>
    </w:pPr>
    <w:r w:rsidRPr="006C7A49">
      <w:rPr>
        <w:sz w:val="16"/>
        <w:szCs w:val="16"/>
        <w:lang w:val="en-US"/>
      </w:rPr>
      <w:t>03 9650 7222</w:t>
    </w:r>
  </w:p>
  <w:p w14:paraId="1A96EBCB" w14:textId="77777777" w:rsidR="00265E52" w:rsidRPr="006C7A49" w:rsidRDefault="00265E52" w:rsidP="00740F60">
    <w:pPr>
      <w:pStyle w:val="Sinespaciado"/>
      <w:ind w:right="544"/>
      <w:jc w:val="right"/>
      <w:rPr>
        <w:sz w:val="16"/>
        <w:szCs w:val="16"/>
        <w:lang w:val="en-US"/>
      </w:rPr>
    </w:pPr>
    <w:r w:rsidRPr="006C7A49">
      <w:rPr>
        <w:sz w:val="16"/>
        <w:szCs w:val="16"/>
        <w:lang w:val="en-US"/>
      </w:rPr>
      <w:t xml:space="preserve">www.acig.com.au </w:t>
    </w:r>
  </w:p>
  <w:p w14:paraId="2AE084D1" w14:textId="77777777" w:rsidR="00265E52" w:rsidRPr="006C7A49" w:rsidRDefault="00265E52" w:rsidP="003D7A8D">
    <w:pPr>
      <w:pStyle w:val="Piedepgina"/>
      <w:jc w:val="center"/>
      <w:rPr>
        <w:color w:val="00408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90FFD" w14:textId="77777777" w:rsidR="005225C3" w:rsidRDefault="005225C3" w:rsidP="00A24449">
      <w:r>
        <w:separator/>
      </w:r>
    </w:p>
  </w:footnote>
  <w:footnote w:type="continuationSeparator" w:id="0">
    <w:p w14:paraId="3ADFF759" w14:textId="77777777" w:rsidR="005225C3" w:rsidRDefault="005225C3" w:rsidP="00A24449">
      <w:r>
        <w:continuationSeparator/>
      </w:r>
    </w:p>
  </w:footnote>
  <w:footnote w:id="1">
    <w:p w14:paraId="435DD598" w14:textId="6DED8930" w:rsidR="006B7BEC" w:rsidRPr="006B7BEC" w:rsidRDefault="006B7BEC">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Francia: </w:t>
      </w:r>
      <w:hyperlink r:id="rId1" w:history="1">
        <w:r>
          <w:rPr>
            <w:rStyle w:val="Hipervnculo"/>
            <w:rFonts w:ascii="Century Gothic" w:hAnsi="Century Gothic"/>
            <w:sz w:val="18"/>
            <w:szCs w:val="18"/>
          </w:rPr>
          <w:t>Presentación para comentario público en referencia a la diversidad</w:t>
        </w:r>
      </w:hyperlink>
    </w:p>
  </w:footnote>
  <w:footnote w:id="2">
    <w:p w14:paraId="0C000A08" w14:textId="3DE6B0F1" w:rsidR="00927979" w:rsidRPr="00E15156" w:rsidRDefault="00927979">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Francia: </w:t>
      </w:r>
      <w:hyperlink r:id="rId2" w:history="1">
        <w:r>
          <w:rPr>
            <w:rStyle w:val="Hipervnculo"/>
            <w:rFonts w:ascii="Century Gothic" w:hAnsi="Century Gothic"/>
            <w:sz w:val="18"/>
            <w:szCs w:val="18"/>
          </w:rPr>
          <w:t>Presentación para comentario público en referencia a la jurisdicción</w:t>
        </w:r>
      </w:hyperlink>
      <w:r>
        <w:rPr>
          <w:rFonts w:ascii="Century Gothic" w:hAnsi="Century Gothic"/>
          <w:sz w:val="18"/>
          <w:szCs w:val="18"/>
        </w:rPr>
        <w:t xml:space="preserve"> </w:t>
      </w:r>
    </w:p>
  </w:footnote>
  <w:footnote w:id="3">
    <w:p w14:paraId="407CF1D4" w14:textId="4E368156" w:rsidR="00E15156" w:rsidRDefault="00E15156">
      <w:pPr>
        <w:pStyle w:val="Textonotapie"/>
      </w:pPr>
      <w:r>
        <w:rPr>
          <w:rStyle w:val="Refdenotaalpie"/>
          <w:rFonts w:ascii="Century Gothic" w:hAnsi="Century Gothic"/>
          <w:sz w:val="18"/>
          <w:szCs w:val="18"/>
        </w:rPr>
        <w:footnoteRef/>
      </w:r>
      <w:r>
        <w:rPr>
          <w:rFonts w:ascii="Century Gothic" w:hAnsi="Century Gothic"/>
          <w:sz w:val="18"/>
          <w:szCs w:val="18"/>
        </w:rPr>
        <w:t xml:space="preserve"> Brasil: Asesoramiento previo a las reuniones a la Secretaría y a los miembros del CCWG designados por el GAC</w:t>
      </w:r>
    </w:p>
  </w:footnote>
  <w:footnote w:id="4">
    <w:p w14:paraId="06F8B80B" w14:textId="695515AA" w:rsidR="007F0696" w:rsidRPr="007F0696" w:rsidRDefault="007F0696">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w:t>
      </w:r>
      <w:hyperlink r:id="rId3" w:history="1">
        <w:r>
          <w:rPr>
            <w:rStyle w:val="Hipervnculo"/>
            <w:rFonts w:ascii="Century Gothic" w:hAnsi="Century Gothic"/>
            <w:sz w:val="18"/>
            <w:szCs w:val="18"/>
          </w:rPr>
          <w:t>Comunicado del GAC pronunciado en Marrakech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C198" w14:textId="1E5949C8" w:rsidR="00265E52" w:rsidRDefault="006C7A49" w:rsidP="00B53525">
    <w:pPr>
      <w:pStyle w:val="Encabezado"/>
      <w:tabs>
        <w:tab w:val="clear" w:pos="4680"/>
        <w:tab w:val="clear" w:pos="9360"/>
      </w:tabs>
      <w:ind w:right="-306"/>
    </w:pPr>
    <w:r>
      <w:rPr>
        <w:noProof/>
        <w:lang w:val="es-AR" w:eastAsia="es-AR"/>
      </w:rPr>
      <mc:AlternateContent>
        <mc:Choice Requires="wps">
          <w:drawing>
            <wp:anchor distT="0" distB="0" distL="114300" distR="114300" simplePos="0" relativeHeight="251657216" behindDoc="1" locked="0" layoutInCell="1" allowOverlap="1" wp14:anchorId="261037EF" wp14:editId="08A0CC22">
              <wp:simplePos x="0" y="0"/>
              <wp:positionH relativeFrom="column">
                <wp:posOffset>3729162</wp:posOffset>
              </wp:positionH>
              <wp:positionV relativeFrom="paragraph">
                <wp:posOffset>225177</wp:posOffset>
              </wp:positionV>
              <wp:extent cx="2149530" cy="297815"/>
              <wp:effectExtent l="0" t="0" r="317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530" cy="297815"/>
                      </a:xfrm>
                      <a:prstGeom prst="rect">
                        <a:avLst/>
                      </a:prstGeom>
                      <a:solidFill>
                        <a:srgbClr val="FFFFFF"/>
                      </a:solidFill>
                      <a:ln>
                        <a:noFill/>
                      </a:ln>
                      <a:extLst/>
                    </wps:spPr>
                    <wps:txbx>
                      <w:txbxContent>
                        <w:p w14:paraId="5342CE0B" w14:textId="77777777" w:rsidR="00265E52" w:rsidRPr="002276FD" w:rsidRDefault="00265E52" w:rsidP="00CD30A8">
                          <w:pPr>
                            <w:ind w:left="-142"/>
                            <w:rPr>
                              <w:rFonts w:ascii="Arial Narrow" w:hAnsi="Arial Narrow"/>
                              <w:color w:val="C45911" w:themeColor="accent2" w:themeShade="BF"/>
                              <w:sz w:val="32"/>
                              <w:szCs w:val="32"/>
                            </w:rPr>
                          </w:pPr>
                          <w:r>
                            <w:rPr>
                              <w:rFonts w:ascii="Arial Narrow" w:hAnsi="Arial Narrow"/>
                              <w:color w:val="C45911" w:themeColor="accent2" w:themeShade="BF"/>
                              <w:sz w:val="32"/>
                              <w:szCs w:val="32"/>
                            </w:rPr>
                            <w:t>Secretaría del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3.65pt;margin-top:17.75pt;width:169.2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" stroked="f">
              <v:textbox>
                <w:txbxContent>
                  <w:p w14:paraId="5342CE0B" w14:textId="77777777" w:rsidR="00265E52" w:rsidRPr="002276FD" w:rsidRDefault="00265E52" w:rsidP="00CD30A8">
                    <w:pPr>
                      <w:ind w:left="-142"/>
                      <w:rPr>
                        <w:rFonts w:ascii="Arial Narrow" w:hAnsi="Arial Narrow"/>
                        <w:color w:val="C45911" w:themeColor="accent2" w:themeShade="BF"/>
                        <w:sz w:val="32"/>
                        <w:szCs w:val="32"/>
                      </w:rPr>
                    </w:pPr>
                    <w:r>
                      <w:rPr>
                        <w:rFonts w:ascii="Arial Narrow" w:hAnsi="Arial Narrow"/>
                        <w:color w:val="C45911" w:themeColor="accent2" w:themeShade="BF"/>
                        <w:sz w:val="32"/>
                        <w:szCs w:val="32"/>
                      </w:rPr>
                      <w:t>Secretaría del GAC</w:t>
                    </w:r>
                  </w:p>
                </w:txbxContent>
              </v:textbox>
            </v:shape>
          </w:pict>
        </mc:Fallback>
      </mc:AlternateContent>
    </w:r>
    <w:r w:rsidR="00265E52">
      <w:tab/>
    </w:r>
    <w:r w:rsidR="00265E52">
      <w:tab/>
    </w:r>
    <w:r w:rsidR="00265E52">
      <w:tab/>
    </w:r>
    <w:r w:rsidR="00265E52">
      <w:tab/>
    </w:r>
    <w:r w:rsidR="00265E52">
      <w:tab/>
    </w:r>
    <w:r w:rsidR="00265E52">
      <w:tab/>
    </w:r>
    <w:r w:rsidR="00265E52">
      <w:tab/>
      <w:t xml:space="preserve">                                           </w:t>
    </w:r>
    <w:r w:rsidR="00265E52">
      <w:rPr>
        <w:noProof/>
        <w:lang w:val="es-AR" w:eastAsia="es-AR"/>
      </w:rPr>
      <w:drawing>
        <wp:inline distT="0" distB="0" distL="0" distR="0" wp14:anchorId="2807CE83" wp14:editId="12B0D6DF">
          <wp:extent cx="457200" cy="293077"/>
          <wp:effectExtent l="0" t="0" r="0" b="12065"/>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57200" cy="293077"/>
                  </a:xfrm>
                  <a:prstGeom prst="rect">
                    <a:avLst/>
                  </a:prstGeom>
                  <a:noFill/>
                  <a:ln w="9525">
                    <a:noFill/>
                    <a:miter lim="800000"/>
                    <a:headEnd/>
                    <a:tailEnd/>
                  </a:ln>
                </pic:spPr>
              </pic:pic>
            </a:graphicData>
          </a:graphic>
        </wp:inline>
      </w:drawing>
    </w:r>
    <w:r w:rsidR="00265E5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D2F92" w14:textId="77777777" w:rsidR="00265E52" w:rsidRDefault="00265E52" w:rsidP="00C2562C">
    <w:pPr>
      <w:pStyle w:val="Encabezado"/>
      <w:tabs>
        <w:tab w:val="clear" w:pos="9360"/>
      </w:tabs>
      <w:ind w:left="-851"/>
      <w:jc w:val="center"/>
    </w:pPr>
    <w:r>
      <w:rPr>
        <w:noProof/>
        <w:lang w:val="es-AR" w:eastAsia="es-AR"/>
      </w:rPr>
      <w:drawing>
        <wp:inline distT="0" distB="0" distL="0" distR="0" wp14:anchorId="18DC42A4" wp14:editId="54F54699">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B4F4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0428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CB82D0D2"/>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1F2F7D65"/>
    <w:multiLevelType w:val="hybridMultilevel"/>
    <w:tmpl w:val="C91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43D24"/>
    <w:multiLevelType w:val="hybridMultilevel"/>
    <w:tmpl w:val="B82E60D0"/>
    <w:lvl w:ilvl="0" w:tplc="0C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E14971"/>
    <w:multiLevelType w:val="hybridMultilevel"/>
    <w:tmpl w:val="58C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A3FD3"/>
    <w:multiLevelType w:val="hybridMultilevel"/>
    <w:tmpl w:val="A2088966"/>
    <w:lvl w:ilvl="0" w:tplc="0C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31011F"/>
    <w:multiLevelType w:val="multilevel"/>
    <w:tmpl w:val="6BB6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70D48"/>
    <w:multiLevelType w:val="hybridMultilevel"/>
    <w:tmpl w:val="4EF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7F5318"/>
    <w:multiLevelType w:val="hybridMultilevel"/>
    <w:tmpl w:val="A88A34A0"/>
    <w:lvl w:ilvl="0" w:tplc="66068FF0">
      <w:start w:val="1"/>
      <w:numFmt w:val="bullet"/>
      <w:pStyle w:val="Listaconvietas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1">
    <w:nsid w:val="61F4139C"/>
    <w:multiLevelType w:val="hybridMultilevel"/>
    <w:tmpl w:val="531E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F127E"/>
    <w:multiLevelType w:val="hybridMultilevel"/>
    <w:tmpl w:val="5DC817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FF598B"/>
    <w:multiLevelType w:val="hybridMultilevel"/>
    <w:tmpl w:val="F73A0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5B208F4"/>
    <w:multiLevelType w:val="hybridMultilevel"/>
    <w:tmpl w:val="9EF4A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CC7DE8"/>
    <w:multiLevelType w:val="hybridMultilevel"/>
    <w:tmpl w:val="8B326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9422F5B"/>
    <w:multiLevelType w:val="hybridMultilevel"/>
    <w:tmpl w:val="07826F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437814"/>
    <w:multiLevelType w:val="hybridMultilevel"/>
    <w:tmpl w:val="E72E6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F9E28B0"/>
    <w:multiLevelType w:val="hybridMultilevel"/>
    <w:tmpl w:val="AADAE810"/>
    <w:lvl w:ilvl="0" w:tplc="7B98F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0"/>
  </w:num>
  <w:num w:numId="5">
    <w:abstractNumId w:val="6"/>
  </w:num>
  <w:num w:numId="6">
    <w:abstractNumId w:val="3"/>
  </w:num>
  <w:num w:numId="7">
    <w:abstractNumId w:val="18"/>
  </w:num>
  <w:num w:numId="8">
    <w:abstractNumId w:val="11"/>
  </w:num>
  <w:num w:numId="9">
    <w:abstractNumId w:val="16"/>
  </w:num>
  <w:num w:numId="10">
    <w:abstractNumId w:val="8"/>
  </w:num>
  <w:num w:numId="11">
    <w:abstractNumId w:val="7"/>
  </w:num>
  <w:num w:numId="12">
    <w:abstractNumId w:val="9"/>
  </w:num>
  <w:num w:numId="13">
    <w:abstractNumId w:val="17"/>
  </w:num>
  <w:num w:numId="14">
    <w:abstractNumId w:val="13"/>
  </w:num>
  <w:num w:numId="15">
    <w:abstractNumId w:val="15"/>
  </w:num>
  <w:num w:numId="16">
    <w:abstractNumId w:val="14"/>
  </w:num>
  <w:num w:numId="17">
    <w:abstractNumId w:val="12"/>
  </w:num>
  <w:num w:numId="18">
    <w:abstractNumId w:val="4"/>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D6"/>
    <w:rsid w:val="00000949"/>
    <w:rsid w:val="000121B8"/>
    <w:rsid w:val="00017DDB"/>
    <w:rsid w:val="00023512"/>
    <w:rsid w:val="00023E59"/>
    <w:rsid w:val="0002714F"/>
    <w:rsid w:val="000328A2"/>
    <w:rsid w:val="0007760C"/>
    <w:rsid w:val="00083BC8"/>
    <w:rsid w:val="0008562A"/>
    <w:rsid w:val="00085A36"/>
    <w:rsid w:val="000964B7"/>
    <w:rsid w:val="000A1076"/>
    <w:rsid w:val="000B6365"/>
    <w:rsid w:val="000C0FD7"/>
    <w:rsid w:val="000C5167"/>
    <w:rsid w:val="000C6B2E"/>
    <w:rsid w:val="000C7897"/>
    <w:rsid w:val="000D1296"/>
    <w:rsid w:val="000F083F"/>
    <w:rsid w:val="000F5927"/>
    <w:rsid w:val="000F794C"/>
    <w:rsid w:val="00101754"/>
    <w:rsid w:val="00102247"/>
    <w:rsid w:val="00123E04"/>
    <w:rsid w:val="00124881"/>
    <w:rsid w:val="001373A0"/>
    <w:rsid w:val="00141874"/>
    <w:rsid w:val="00142EBB"/>
    <w:rsid w:val="00144B1B"/>
    <w:rsid w:val="00147E65"/>
    <w:rsid w:val="001577F4"/>
    <w:rsid w:val="0016195D"/>
    <w:rsid w:val="00181D77"/>
    <w:rsid w:val="00184A6B"/>
    <w:rsid w:val="001A5355"/>
    <w:rsid w:val="001A541E"/>
    <w:rsid w:val="001A6E2E"/>
    <w:rsid w:val="001B337F"/>
    <w:rsid w:val="001B35DE"/>
    <w:rsid w:val="001D0AB7"/>
    <w:rsid w:val="001D1DEB"/>
    <w:rsid w:val="001D64DD"/>
    <w:rsid w:val="001F797E"/>
    <w:rsid w:val="00203D87"/>
    <w:rsid w:val="002058E1"/>
    <w:rsid w:val="00207ED8"/>
    <w:rsid w:val="002110FA"/>
    <w:rsid w:val="0021772D"/>
    <w:rsid w:val="0022503D"/>
    <w:rsid w:val="002276FD"/>
    <w:rsid w:val="002342A7"/>
    <w:rsid w:val="002473AD"/>
    <w:rsid w:val="00250279"/>
    <w:rsid w:val="00265E52"/>
    <w:rsid w:val="00265F90"/>
    <w:rsid w:val="00273354"/>
    <w:rsid w:val="00276F47"/>
    <w:rsid w:val="00287DA6"/>
    <w:rsid w:val="00293161"/>
    <w:rsid w:val="00294D4F"/>
    <w:rsid w:val="002A182A"/>
    <w:rsid w:val="002A1E40"/>
    <w:rsid w:val="002B5CC4"/>
    <w:rsid w:val="002B7D69"/>
    <w:rsid w:val="002C3D50"/>
    <w:rsid w:val="002C7EFF"/>
    <w:rsid w:val="00304123"/>
    <w:rsid w:val="00306036"/>
    <w:rsid w:val="00311AA0"/>
    <w:rsid w:val="00327A1A"/>
    <w:rsid w:val="003308BB"/>
    <w:rsid w:val="003401B4"/>
    <w:rsid w:val="003426C6"/>
    <w:rsid w:val="003426EE"/>
    <w:rsid w:val="00352CA5"/>
    <w:rsid w:val="00352E3D"/>
    <w:rsid w:val="003643C4"/>
    <w:rsid w:val="003644DC"/>
    <w:rsid w:val="00367D10"/>
    <w:rsid w:val="00371356"/>
    <w:rsid w:val="00384915"/>
    <w:rsid w:val="00391D09"/>
    <w:rsid w:val="00392926"/>
    <w:rsid w:val="003951BB"/>
    <w:rsid w:val="003961C1"/>
    <w:rsid w:val="003B50A3"/>
    <w:rsid w:val="003D7A8D"/>
    <w:rsid w:val="003E03CB"/>
    <w:rsid w:val="003F0D47"/>
    <w:rsid w:val="003F1F29"/>
    <w:rsid w:val="003F4225"/>
    <w:rsid w:val="003F686E"/>
    <w:rsid w:val="00400344"/>
    <w:rsid w:val="0040195C"/>
    <w:rsid w:val="00406CEE"/>
    <w:rsid w:val="00412A64"/>
    <w:rsid w:val="00416093"/>
    <w:rsid w:val="0042169D"/>
    <w:rsid w:val="004256A5"/>
    <w:rsid w:val="004353D1"/>
    <w:rsid w:val="00440B47"/>
    <w:rsid w:val="00454CBD"/>
    <w:rsid w:val="0045612A"/>
    <w:rsid w:val="00460A7C"/>
    <w:rsid w:val="00463411"/>
    <w:rsid w:val="00466E60"/>
    <w:rsid w:val="00472AE4"/>
    <w:rsid w:val="00481C0C"/>
    <w:rsid w:val="00482610"/>
    <w:rsid w:val="004837E2"/>
    <w:rsid w:val="00483D9D"/>
    <w:rsid w:val="00492E56"/>
    <w:rsid w:val="0049600A"/>
    <w:rsid w:val="004A18F6"/>
    <w:rsid w:val="004A35BB"/>
    <w:rsid w:val="004A47B9"/>
    <w:rsid w:val="004A58B8"/>
    <w:rsid w:val="004A76DE"/>
    <w:rsid w:val="004B6776"/>
    <w:rsid w:val="004B6A85"/>
    <w:rsid w:val="004E22C7"/>
    <w:rsid w:val="004E2498"/>
    <w:rsid w:val="004E4B74"/>
    <w:rsid w:val="0051347B"/>
    <w:rsid w:val="00517E99"/>
    <w:rsid w:val="005225C3"/>
    <w:rsid w:val="00532323"/>
    <w:rsid w:val="0054429B"/>
    <w:rsid w:val="005562E5"/>
    <w:rsid w:val="0055717A"/>
    <w:rsid w:val="005716B7"/>
    <w:rsid w:val="00573397"/>
    <w:rsid w:val="0057629A"/>
    <w:rsid w:val="0057629C"/>
    <w:rsid w:val="00577F86"/>
    <w:rsid w:val="00580A87"/>
    <w:rsid w:val="005A2B8D"/>
    <w:rsid w:val="005C09C7"/>
    <w:rsid w:val="005C163D"/>
    <w:rsid w:val="005C62A7"/>
    <w:rsid w:val="005D6F61"/>
    <w:rsid w:val="005E2917"/>
    <w:rsid w:val="005F2D09"/>
    <w:rsid w:val="0061016F"/>
    <w:rsid w:val="0061408A"/>
    <w:rsid w:val="0061550E"/>
    <w:rsid w:val="00624AEC"/>
    <w:rsid w:val="0063569C"/>
    <w:rsid w:val="00635F0B"/>
    <w:rsid w:val="00647BBA"/>
    <w:rsid w:val="00652018"/>
    <w:rsid w:val="00656C07"/>
    <w:rsid w:val="006735F6"/>
    <w:rsid w:val="00673F9B"/>
    <w:rsid w:val="006762B8"/>
    <w:rsid w:val="0067792E"/>
    <w:rsid w:val="00683C6C"/>
    <w:rsid w:val="00685BA3"/>
    <w:rsid w:val="00696FFE"/>
    <w:rsid w:val="006A3757"/>
    <w:rsid w:val="006B7BEC"/>
    <w:rsid w:val="006C7A49"/>
    <w:rsid w:val="006E28C6"/>
    <w:rsid w:val="006E5066"/>
    <w:rsid w:val="006E5C0F"/>
    <w:rsid w:val="0070074A"/>
    <w:rsid w:val="0071629B"/>
    <w:rsid w:val="00722431"/>
    <w:rsid w:val="0072423D"/>
    <w:rsid w:val="00726B93"/>
    <w:rsid w:val="00731C3E"/>
    <w:rsid w:val="00733E56"/>
    <w:rsid w:val="00736CC9"/>
    <w:rsid w:val="00740F60"/>
    <w:rsid w:val="00743A93"/>
    <w:rsid w:val="007670C2"/>
    <w:rsid w:val="00767C65"/>
    <w:rsid w:val="00787F8F"/>
    <w:rsid w:val="007A174E"/>
    <w:rsid w:val="007A7FA6"/>
    <w:rsid w:val="007C3742"/>
    <w:rsid w:val="007C469F"/>
    <w:rsid w:val="007D32B7"/>
    <w:rsid w:val="007E1AD3"/>
    <w:rsid w:val="007E6F9A"/>
    <w:rsid w:val="007F0696"/>
    <w:rsid w:val="007F633A"/>
    <w:rsid w:val="007F7962"/>
    <w:rsid w:val="00803F79"/>
    <w:rsid w:val="00804134"/>
    <w:rsid w:val="00815A76"/>
    <w:rsid w:val="00817EAC"/>
    <w:rsid w:val="00831E94"/>
    <w:rsid w:val="00832606"/>
    <w:rsid w:val="00832757"/>
    <w:rsid w:val="00832AEE"/>
    <w:rsid w:val="00841F67"/>
    <w:rsid w:val="008433FC"/>
    <w:rsid w:val="00854588"/>
    <w:rsid w:val="00860F68"/>
    <w:rsid w:val="00866FF8"/>
    <w:rsid w:val="0087241F"/>
    <w:rsid w:val="00873893"/>
    <w:rsid w:val="00876A55"/>
    <w:rsid w:val="0087723B"/>
    <w:rsid w:val="00880308"/>
    <w:rsid w:val="008822A3"/>
    <w:rsid w:val="00882354"/>
    <w:rsid w:val="00882E28"/>
    <w:rsid w:val="008930C3"/>
    <w:rsid w:val="00897328"/>
    <w:rsid w:val="008A4120"/>
    <w:rsid w:val="008B442C"/>
    <w:rsid w:val="008C4F95"/>
    <w:rsid w:val="008D3421"/>
    <w:rsid w:val="008D72E9"/>
    <w:rsid w:val="008F1AF4"/>
    <w:rsid w:val="009123B6"/>
    <w:rsid w:val="00914215"/>
    <w:rsid w:val="0091532B"/>
    <w:rsid w:val="0091793A"/>
    <w:rsid w:val="00927979"/>
    <w:rsid w:val="00935124"/>
    <w:rsid w:val="00936441"/>
    <w:rsid w:val="00960831"/>
    <w:rsid w:val="0099631A"/>
    <w:rsid w:val="009A3A9F"/>
    <w:rsid w:val="009A5F69"/>
    <w:rsid w:val="009B5DA7"/>
    <w:rsid w:val="009B79A6"/>
    <w:rsid w:val="009C757D"/>
    <w:rsid w:val="009C77A8"/>
    <w:rsid w:val="009D5A26"/>
    <w:rsid w:val="009F47C8"/>
    <w:rsid w:val="00A07882"/>
    <w:rsid w:val="00A10D81"/>
    <w:rsid w:val="00A172FA"/>
    <w:rsid w:val="00A243F9"/>
    <w:rsid w:val="00A24449"/>
    <w:rsid w:val="00A36228"/>
    <w:rsid w:val="00A3629D"/>
    <w:rsid w:val="00A40DB0"/>
    <w:rsid w:val="00A44B9B"/>
    <w:rsid w:val="00A660EB"/>
    <w:rsid w:val="00A67F51"/>
    <w:rsid w:val="00A80A68"/>
    <w:rsid w:val="00A86B36"/>
    <w:rsid w:val="00A92158"/>
    <w:rsid w:val="00A97410"/>
    <w:rsid w:val="00AA0126"/>
    <w:rsid w:val="00AA3927"/>
    <w:rsid w:val="00AA6D42"/>
    <w:rsid w:val="00AC1BD6"/>
    <w:rsid w:val="00AC209F"/>
    <w:rsid w:val="00AC3F95"/>
    <w:rsid w:val="00AC5490"/>
    <w:rsid w:val="00AC54BB"/>
    <w:rsid w:val="00AD1076"/>
    <w:rsid w:val="00AE0D58"/>
    <w:rsid w:val="00AE686B"/>
    <w:rsid w:val="00AF4291"/>
    <w:rsid w:val="00B026C8"/>
    <w:rsid w:val="00B1475A"/>
    <w:rsid w:val="00B156C6"/>
    <w:rsid w:val="00B21330"/>
    <w:rsid w:val="00B21344"/>
    <w:rsid w:val="00B22FE8"/>
    <w:rsid w:val="00B26B58"/>
    <w:rsid w:val="00B411B1"/>
    <w:rsid w:val="00B53525"/>
    <w:rsid w:val="00B719E4"/>
    <w:rsid w:val="00B72D49"/>
    <w:rsid w:val="00BA0533"/>
    <w:rsid w:val="00BA3EC6"/>
    <w:rsid w:val="00BA5116"/>
    <w:rsid w:val="00BA78FE"/>
    <w:rsid w:val="00BB7588"/>
    <w:rsid w:val="00BD713C"/>
    <w:rsid w:val="00BE0774"/>
    <w:rsid w:val="00BE48F0"/>
    <w:rsid w:val="00BE4F32"/>
    <w:rsid w:val="00C144AE"/>
    <w:rsid w:val="00C163C0"/>
    <w:rsid w:val="00C20205"/>
    <w:rsid w:val="00C21952"/>
    <w:rsid w:val="00C249CB"/>
    <w:rsid w:val="00C2536D"/>
    <w:rsid w:val="00C2562C"/>
    <w:rsid w:val="00C26F6D"/>
    <w:rsid w:val="00C3155A"/>
    <w:rsid w:val="00C3454E"/>
    <w:rsid w:val="00C3504F"/>
    <w:rsid w:val="00C40474"/>
    <w:rsid w:val="00C50C2C"/>
    <w:rsid w:val="00C77E9F"/>
    <w:rsid w:val="00C8398F"/>
    <w:rsid w:val="00C86683"/>
    <w:rsid w:val="00C90D1C"/>
    <w:rsid w:val="00C93A60"/>
    <w:rsid w:val="00C95320"/>
    <w:rsid w:val="00C9701E"/>
    <w:rsid w:val="00CB0EA0"/>
    <w:rsid w:val="00CD30A8"/>
    <w:rsid w:val="00CD57F8"/>
    <w:rsid w:val="00CF0606"/>
    <w:rsid w:val="00CF4236"/>
    <w:rsid w:val="00CF4E9A"/>
    <w:rsid w:val="00D01CBD"/>
    <w:rsid w:val="00D049CB"/>
    <w:rsid w:val="00D07C27"/>
    <w:rsid w:val="00D10848"/>
    <w:rsid w:val="00D10DB6"/>
    <w:rsid w:val="00D11495"/>
    <w:rsid w:val="00D12CEE"/>
    <w:rsid w:val="00D1448B"/>
    <w:rsid w:val="00D22E4A"/>
    <w:rsid w:val="00D3158D"/>
    <w:rsid w:val="00D34405"/>
    <w:rsid w:val="00D40927"/>
    <w:rsid w:val="00D41280"/>
    <w:rsid w:val="00D41B02"/>
    <w:rsid w:val="00D46C24"/>
    <w:rsid w:val="00D543D6"/>
    <w:rsid w:val="00D56760"/>
    <w:rsid w:val="00D667A4"/>
    <w:rsid w:val="00D6799D"/>
    <w:rsid w:val="00D725B5"/>
    <w:rsid w:val="00D7384E"/>
    <w:rsid w:val="00D86EA8"/>
    <w:rsid w:val="00D9442D"/>
    <w:rsid w:val="00D97BFC"/>
    <w:rsid w:val="00DA148D"/>
    <w:rsid w:val="00DA436F"/>
    <w:rsid w:val="00DB0A4C"/>
    <w:rsid w:val="00DB0B78"/>
    <w:rsid w:val="00DB6622"/>
    <w:rsid w:val="00DB6F29"/>
    <w:rsid w:val="00DE173D"/>
    <w:rsid w:val="00DE621B"/>
    <w:rsid w:val="00DF2FD4"/>
    <w:rsid w:val="00DF5B00"/>
    <w:rsid w:val="00E00260"/>
    <w:rsid w:val="00E016F8"/>
    <w:rsid w:val="00E0271A"/>
    <w:rsid w:val="00E06E56"/>
    <w:rsid w:val="00E13252"/>
    <w:rsid w:val="00E13B4B"/>
    <w:rsid w:val="00E15156"/>
    <w:rsid w:val="00E16AE4"/>
    <w:rsid w:val="00E3060B"/>
    <w:rsid w:val="00E445FE"/>
    <w:rsid w:val="00E52A32"/>
    <w:rsid w:val="00E5754C"/>
    <w:rsid w:val="00E57BDD"/>
    <w:rsid w:val="00E70B81"/>
    <w:rsid w:val="00E7196B"/>
    <w:rsid w:val="00E838B6"/>
    <w:rsid w:val="00E90B6D"/>
    <w:rsid w:val="00E9134A"/>
    <w:rsid w:val="00E93242"/>
    <w:rsid w:val="00EA3A02"/>
    <w:rsid w:val="00EA7409"/>
    <w:rsid w:val="00EB3FD2"/>
    <w:rsid w:val="00EC1F81"/>
    <w:rsid w:val="00EC3D26"/>
    <w:rsid w:val="00EC45DC"/>
    <w:rsid w:val="00ED0B4F"/>
    <w:rsid w:val="00ED1EDB"/>
    <w:rsid w:val="00EF2D04"/>
    <w:rsid w:val="00F01779"/>
    <w:rsid w:val="00F0619E"/>
    <w:rsid w:val="00F10ACB"/>
    <w:rsid w:val="00F10C43"/>
    <w:rsid w:val="00F21D6A"/>
    <w:rsid w:val="00F21D76"/>
    <w:rsid w:val="00F35CBA"/>
    <w:rsid w:val="00F4462E"/>
    <w:rsid w:val="00F46F4F"/>
    <w:rsid w:val="00F50E4C"/>
    <w:rsid w:val="00F635A2"/>
    <w:rsid w:val="00F723E5"/>
    <w:rsid w:val="00F77C52"/>
    <w:rsid w:val="00F80CBA"/>
    <w:rsid w:val="00F81B80"/>
    <w:rsid w:val="00F81B9D"/>
    <w:rsid w:val="00F84050"/>
    <w:rsid w:val="00F96D2C"/>
    <w:rsid w:val="00FC724F"/>
    <w:rsid w:val="00FE75DF"/>
    <w:rsid w:val="00FE77E2"/>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E"/>
    <w:rPr>
      <w:rFonts w:ascii="Calibri" w:eastAsia="Times New Roman" w:hAnsi="Calibr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D10DB6"/>
    <w:pPr>
      <w:keepNext/>
      <w:keepLines/>
      <w:ind w:right="545"/>
      <w:outlineLvl w:val="1"/>
    </w:pPr>
    <w:rPr>
      <w:b/>
      <w:color w:val="00408E"/>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0DB6"/>
    <w:rPr>
      <w:b/>
      <w:color w:val="00408E"/>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ascii="Century Gothic" w:eastAsia="Calibri" w:hAnsi="Century Gothic"/>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ascii="Century Gothic" w:eastAsia="Calibri" w:hAnsi="Century Gothic"/>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C163C0"/>
    <w:rPr>
      <w:sz w:val="18"/>
      <w:szCs w:val="18"/>
    </w:rPr>
  </w:style>
  <w:style w:type="paragraph" w:styleId="Textocomentario">
    <w:name w:val="annotation text"/>
    <w:basedOn w:val="Normal"/>
    <w:link w:val="TextocomentarioCar"/>
    <w:uiPriority w:val="99"/>
    <w:semiHidden/>
    <w:unhideWhenUsed/>
    <w:rsid w:val="00C163C0"/>
  </w:style>
  <w:style w:type="character" w:customStyle="1" w:styleId="TextocomentarioCar">
    <w:name w:val="Texto comentario Car"/>
    <w:basedOn w:val="Fuentedeprrafopredeter"/>
    <w:link w:val="Textocomentario"/>
    <w:uiPriority w:val="99"/>
    <w:semiHidden/>
    <w:rsid w:val="00C163C0"/>
    <w:rPr>
      <w:rFonts w:ascii="Calibri" w:eastAsia="Times New Roman" w:hAnsi="Calibri"/>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C163C0"/>
    <w:rPr>
      <w:b/>
      <w:bCs/>
      <w:sz w:val="20"/>
      <w:szCs w:val="20"/>
    </w:rPr>
  </w:style>
  <w:style w:type="character" w:customStyle="1" w:styleId="AsuntodelcomentarioCar">
    <w:name w:val="Asunto del comentario Car"/>
    <w:basedOn w:val="TextocomentarioCar"/>
    <w:link w:val="Asuntodelcomentario"/>
    <w:uiPriority w:val="99"/>
    <w:semiHidden/>
    <w:rsid w:val="00C163C0"/>
    <w:rPr>
      <w:rFonts w:ascii="Calibri" w:eastAsia="Times New Roman" w:hAnsi="Calibri"/>
      <w:b/>
      <w:bCs/>
      <w:sz w:val="24"/>
      <w:szCs w:val="24"/>
      <w:lang w:val="es-MX" w:eastAsia="en-US"/>
    </w:rPr>
  </w:style>
  <w:style w:type="paragraph" w:styleId="Revisin">
    <w:name w:val="Revision"/>
    <w:hidden/>
    <w:uiPriority w:val="99"/>
    <w:semiHidden/>
    <w:rsid w:val="00C163C0"/>
    <w:rPr>
      <w:rFonts w:ascii="Calibri" w:eastAsia="Times New Roman" w:hAnsi="Calibri"/>
      <w:sz w:val="24"/>
      <w:szCs w:val="24"/>
      <w:lang w:eastAsia="en-US"/>
    </w:rPr>
  </w:style>
  <w:style w:type="paragraph" w:styleId="NormalWeb">
    <w:name w:val="Normal (Web)"/>
    <w:basedOn w:val="Normal"/>
    <w:uiPriority w:val="99"/>
    <w:semiHidden/>
    <w:unhideWhenUsed/>
    <w:rsid w:val="00B411B1"/>
    <w:pPr>
      <w:spacing w:before="100" w:beforeAutospacing="1" w:after="100" w:afterAutospacing="1"/>
    </w:pPr>
    <w:rPr>
      <w:rFonts w:ascii="Times New Roman" w:hAnsi="Times New Roman"/>
      <w:lang w:eastAsia="en-AU"/>
    </w:rPr>
  </w:style>
  <w:style w:type="character" w:styleId="Textoennegrita">
    <w:name w:val="Strong"/>
    <w:basedOn w:val="Fuentedeprrafopredeter"/>
    <w:uiPriority w:val="22"/>
    <w:qFormat/>
    <w:rsid w:val="00656C07"/>
    <w:rPr>
      <w:b/>
      <w:bCs/>
    </w:rPr>
  </w:style>
  <w:style w:type="character" w:styleId="Hipervnculovisitado">
    <w:name w:val="FollowedHyperlink"/>
    <w:basedOn w:val="Fuentedeprrafopredeter"/>
    <w:uiPriority w:val="99"/>
    <w:semiHidden/>
    <w:unhideWhenUsed/>
    <w:rsid w:val="004B6A85"/>
    <w:rPr>
      <w:color w:val="954F72" w:themeColor="followedHyperlink"/>
      <w:u w:val="single"/>
    </w:rPr>
  </w:style>
  <w:style w:type="paragraph" w:customStyle="1" w:styleId="Default">
    <w:name w:val="Default"/>
    <w:rsid w:val="008930C3"/>
    <w:pPr>
      <w:autoSpaceDE w:val="0"/>
      <w:autoSpaceDN w:val="0"/>
      <w:adjustRightInd w:val="0"/>
    </w:pPr>
    <w:rPr>
      <w:rFonts w:ascii="Calibri" w:hAnsi="Calibri" w:cs="Calibri"/>
      <w:color w:val="000000"/>
      <w:sz w:val="24"/>
      <w:szCs w:val="24"/>
      <w:lang w:eastAsia="en-US"/>
    </w:rPr>
  </w:style>
  <w:style w:type="character" w:customStyle="1" w:styleId="UnresolvedMention">
    <w:name w:val="Unresolved Mention"/>
    <w:basedOn w:val="Fuentedeprrafopredeter"/>
    <w:uiPriority w:val="99"/>
    <w:rsid w:val="0087241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E"/>
    <w:rPr>
      <w:rFonts w:ascii="Calibri" w:eastAsia="Times New Roman" w:hAnsi="Calibr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D10DB6"/>
    <w:pPr>
      <w:keepNext/>
      <w:keepLines/>
      <w:ind w:right="545"/>
      <w:outlineLvl w:val="1"/>
    </w:pPr>
    <w:rPr>
      <w:b/>
      <w:color w:val="00408E"/>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0DB6"/>
    <w:rPr>
      <w:b/>
      <w:color w:val="00408E"/>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ascii="Century Gothic" w:eastAsia="Calibri" w:hAnsi="Century Gothic"/>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ascii="Century Gothic" w:eastAsia="Calibri" w:hAnsi="Century Gothic"/>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C163C0"/>
    <w:rPr>
      <w:sz w:val="18"/>
      <w:szCs w:val="18"/>
    </w:rPr>
  </w:style>
  <w:style w:type="paragraph" w:styleId="Textocomentario">
    <w:name w:val="annotation text"/>
    <w:basedOn w:val="Normal"/>
    <w:link w:val="TextocomentarioCar"/>
    <w:uiPriority w:val="99"/>
    <w:semiHidden/>
    <w:unhideWhenUsed/>
    <w:rsid w:val="00C163C0"/>
  </w:style>
  <w:style w:type="character" w:customStyle="1" w:styleId="TextocomentarioCar">
    <w:name w:val="Texto comentario Car"/>
    <w:basedOn w:val="Fuentedeprrafopredeter"/>
    <w:link w:val="Textocomentario"/>
    <w:uiPriority w:val="99"/>
    <w:semiHidden/>
    <w:rsid w:val="00C163C0"/>
    <w:rPr>
      <w:rFonts w:ascii="Calibri" w:eastAsia="Times New Roman" w:hAnsi="Calibri"/>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C163C0"/>
    <w:rPr>
      <w:b/>
      <w:bCs/>
      <w:sz w:val="20"/>
      <w:szCs w:val="20"/>
    </w:rPr>
  </w:style>
  <w:style w:type="character" w:customStyle="1" w:styleId="AsuntodelcomentarioCar">
    <w:name w:val="Asunto del comentario Car"/>
    <w:basedOn w:val="TextocomentarioCar"/>
    <w:link w:val="Asuntodelcomentario"/>
    <w:uiPriority w:val="99"/>
    <w:semiHidden/>
    <w:rsid w:val="00C163C0"/>
    <w:rPr>
      <w:rFonts w:ascii="Calibri" w:eastAsia="Times New Roman" w:hAnsi="Calibri"/>
      <w:b/>
      <w:bCs/>
      <w:sz w:val="24"/>
      <w:szCs w:val="24"/>
      <w:lang w:val="es-MX" w:eastAsia="en-US"/>
    </w:rPr>
  </w:style>
  <w:style w:type="paragraph" w:styleId="Revisin">
    <w:name w:val="Revision"/>
    <w:hidden/>
    <w:uiPriority w:val="99"/>
    <w:semiHidden/>
    <w:rsid w:val="00C163C0"/>
    <w:rPr>
      <w:rFonts w:ascii="Calibri" w:eastAsia="Times New Roman" w:hAnsi="Calibri"/>
      <w:sz w:val="24"/>
      <w:szCs w:val="24"/>
      <w:lang w:eastAsia="en-US"/>
    </w:rPr>
  </w:style>
  <w:style w:type="paragraph" w:styleId="NormalWeb">
    <w:name w:val="Normal (Web)"/>
    <w:basedOn w:val="Normal"/>
    <w:uiPriority w:val="99"/>
    <w:semiHidden/>
    <w:unhideWhenUsed/>
    <w:rsid w:val="00B411B1"/>
    <w:pPr>
      <w:spacing w:before="100" w:beforeAutospacing="1" w:after="100" w:afterAutospacing="1"/>
    </w:pPr>
    <w:rPr>
      <w:rFonts w:ascii="Times New Roman" w:hAnsi="Times New Roman"/>
      <w:lang w:eastAsia="en-AU"/>
    </w:rPr>
  </w:style>
  <w:style w:type="character" w:styleId="Textoennegrita">
    <w:name w:val="Strong"/>
    <w:basedOn w:val="Fuentedeprrafopredeter"/>
    <w:uiPriority w:val="22"/>
    <w:qFormat/>
    <w:rsid w:val="00656C07"/>
    <w:rPr>
      <w:b/>
      <w:bCs/>
    </w:rPr>
  </w:style>
  <w:style w:type="character" w:styleId="Hipervnculovisitado">
    <w:name w:val="FollowedHyperlink"/>
    <w:basedOn w:val="Fuentedeprrafopredeter"/>
    <w:uiPriority w:val="99"/>
    <w:semiHidden/>
    <w:unhideWhenUsed/>
    <w:rsid w:val="004B6A85"/>
    <w:rPr>
      <w:color w:val="954F72" w:themeColor="followedHyperlink"/>
      <w:u w:val="single"/>
    </w:rPr>
  </w:style>
  <w:style w:type="paragraph" w:customStyle="1" w:styleId="Default">
    <w:name w:val="Default"/>
    <w:rsid w:val="008930C3"/>
    <w:pPr>
      <w:autoSpaceDE w:val="0"/>
      <w:autoSpaceDN w:val="0"/>
      <w:adjustRightInd w:val="0"/>
    </w:pPr>
    <w:rPr>
      <w:rFonts w:ascii="Calibri" w:hAnsi="Calibri" w:cs="Calibri"/>
      <w:color w:val="000000"/>
      <w:sz w:val="24"/>
      <w:szCs w:val="24"/>
      <w:lang w:eastAsia="en-US"/>
    </w:rPr>
  </w:style>
  <w:style w:type="character" w:customStyle="1" w:styleId="UnresolvedMention">
    <w:name w:val="Unresolved Mention"/>
    <w:basedOn w:val="Fuentedeprrafopredeter"/>
    <w:uiPriority w:val="99"/>
    <w:rsid w:val="0087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4803">
      <w:bodyDiv w:val="1"/>
      <w:marLeft w:val="0"/>
      <w:marRight w:val="0"/>
      <w:marTop w:val="0"/>
      <w:marBottom w:val="0"/>
      <w:divBdr>
        <w:top w:val="none" w:sz="0" w:space="0" w:color="auto"/>
        <w:left w:val="none" w:sz="0" w:space="0" w:color="auto"/>
        <w:bottom w:val="none" w:sz="0" w:space="0" w:color="auto"/>
        <w:right w:val="none" w:sz="0" w:space="0" w:color="auto"/>
      </w:divBdr>
    </w:div>
    <w:div w:id="292446362">
      <w:bodyDiv w:val="1"/>
      <w:marLeft w:val="0"/>
      <w:marRight w:val="0"/>
      <w:marTop w:val="0"/>
      <w:marBottom w:val="0"/>
      <w:divBdr>
        <w:top w:val="none" w:sz="0" w:space="0" w:color="auto"/>
        <w:left w:val="none" w:sz="0" w:space="0" w:color="auto"/>
        <w:bottom w:val="none" w:sz="0" w:space="0" w:color="auto"/>
        <w:right w:val="none" w:sz="0" w:space="0" w:color="auto"/>
      </w:divBdr>
    </w:div>
    <w:div w:id="509107059">
      <w:bodyDiv w:val="1"/>
      <w:marLeft w:val="0"/>
      <w:marRight w:val="0"/>
      <w:marTop w:val="0"/>
      <w:marBottom w:val="0"/>
      <w:divBdr>
        <w:top w:val="none" w:sz="0" w:space="0" w:color="auto"/>
        <w:left w:val="none" w:sz="0" w:space="0" w:color="auto"/>
        <w:bottom w:val="none" w:sz="0" w:space="0" w:color="auto"/>
        <w:right w:val="none" w:sz="0" w:space="0" w:color="auto"/>
      </w:divBdr>
    </w:div>
    <w:div w:id="522980083">
      <w:bodyDiv w:val="1"/>
      <w:marLeft w:val="0"/>
      <w:marRight w:val="0"/>
      <w:marTop w:val="0"/>
      <w:marBottom w:val="0"/>
      <w:divBdr>
        <w:top w:val="none" w:sz="0" w:space="0" w:color="auto"/>
        <w:left w:val="none" w:sz="0" w:space="0" w:color="auto"/>
        <w:bottom w:val="none" w:sz="0" w:space="0" w:color="auto"/>
        <w:right w:val="none" w:sz="0" w:space="0" w:color="auto"/>
      </w:divBdr>
    </w:div>
    <w:div w:id="615214644">
      <w:bodyDiv w:val="1"/>
      <w:marLeft w:val="0"/>
      <w:marRight w:val="0"/>
      <w:marTop w:val="0"/>
      <w:marBottom w:val="0"/>
      <w:divBdr>
        <w:top w:val="none" w:sz="0" w:space="0" w:color="auto"/>
        <w:left w:val="none" w:sz="0" w:space="0" w:color="auto"/>
        <w:bottom w:val="none" w:sz="0" w:space="0" w:color="auto"/>
        <w:right w:val="none" w:sz="0" w:space="0" w:color="auto"/>
      </w:divBdr>
    </w:div>
    <w:div w:id="1329942037">
      <w:bodyDiv w:val="1"/>
      <w:marLeft w:val="0"/>
      <w:marRight w:val="0"/>
      <w:marTop w:val="0"/>
      <w:marBottom w:val="0"/>
      <w:divBdr>
        <w:top w:val="none" w:sz="0" w:space="0" w:color="auto"/>
        <w:left w:val="none" w:sz="0" w:space="0" w:color="auto"/>
        <w:bottom w:val="none" w:sz="0" w:space="0" w:color="auto"/>
        <w:right w:val="none" w:sz="0" w:space="0" w:color="auto"/>
      </w:divBdr>
    </w:div>
    <w:div w:id="1394043815">
      <w:bodyDiv w:val="1"/>
      <w:marLeft w:val="0"/>
      <w:marRight w:val="0"/>
      <w:marTop w:val="0"/>
      <w:marBottom w:val="0"/>
      <w:divBdr>
        <w:top w:val="none" w:sz="0" w:space="0" w:color="auto"/>
        <w:left w:val="none" w:sz="0" w:space="0" w:color="auto"/>
        <w:bottom w:val="none" w:sz="0" w:space="0" w:color="auto"/>
        <w:right w:val="none" w:sz="0" w:space="0" w:color="auto"/>
      </w:divBdr>
    </w:div>
    <w:div w:id="1498570855">
      <w:bodyDiv w:val="1"/>
      <w:marLeft w:val="0"/>
      <w:marRight w:val="0"/>
      <w:marTop w:val="0"/>
      <w:marBottom w:val="0"/>
      <w:divBdr>
        <w:top w:val="none" w:sz="0" w:space="0" w:color="auto"/>
        <w:left w:val="none" w:sz="0" w:space="0" w:color="auto"/>
        <w:bottom w:val="none" w:sz="0" w:space="0" w:color="auto"/>
        <w:right w:val="none" w:sz="0" w:space="0" w:color="auto"/>
      </w:divBdr>
    </w:div>
    <w:div w:id="1500658365">
      <w:bodyDiv w:val="1"/>
      <w:marLeft w:val="0"/>
      <w:marRight w:val="0"/>
      <w:marTop w:val="0"/>
      <w:marBottom w:val="0"/>
      <w:divBdr>
        <w:top w:val="none" w:sz="0" w:space="0" w:color="auto"/>
        <w:left w:val="none" w:sz="0" w:space="0" w:color="auto"/>
        <w:bottom w:val="none" w:sz="0" w:space="0" w:color="auto"/>
        <w:right w:val="none" w:sz="0" w:space="0" w:color="auto"/>
      </w:divBdr>
    </w:div>
    <w:div w:id="1501310596">
      <w:bodyDiv w:val="1"/>
      <w:marLeft w:val="0"/>
      <w:marRight w:val="0"/>
      <w:marTop w:val="0"/>
      <w:marBottom w:val="0"/>
      <w:divBdr>
        <w:top w:val="none" w:sz="0" w:space="0" w:color="auto"/>
        <w:left w:val="none" w:sz="0" w:space="0" w:color="auto"/>
        <w:bottom w:val="none" w:sz="0" w:space="0" w:color="auto"/>
        <w:right w:val="none" w:sz="0" w:space="0" w:color="auto"/>
      </w:divBdr>
    </w:div>
    <w:div w:id="1537159033">
      <w:bodyDiv w:val="1"/>
      <w:marLeft w:val="0"/>
      <w:marRight w:val="0"/>
      <w:marTop w:val="0"/>
      <w:marBottom w:val="0"/>
      <w:divBdr>
        <w:top w:val="none" w:sz="0" w:space="0" w:color="auto"/>
        <w:left w:val="none" w:sz="0" w:space="0" w:color="auto"/>
        <w:bottom w:val="none" w:sz="0" w:space="0" w:color="auto"/>
        <w:right w:val="none" w:sz="0" w:space="0" w:color="auto"/>
      </w:divBdr>
    </w:div>
    <w:div w:id="1670863130">
      <w:bodyDiv w:val="1"/>
      <w:marLeft w:val="0"/>
      <w:marRight w:val="0"/>
      <w:marTop w:val="0"/>
      <w:marBottom w:val="0"/>
      <w:divBdr>
        <w:top w:val="none" w:sz="0" w:space="0" w:color="auto"/>
        <w:left w:val="none" w:sz="0" w:space="0" w:color="auto"/>
        <w:bottom w:val="none" w:sz="0" w:space="0" w:color="auto"/>
        <w:right w:val="none" w:sz="0" w:space="0" w:color="auto"/>
      </w:divBdr>
    </w:div>
    <w:div w:id="1725372603">
      <w:bodyDiv w:val="1"/>
      <w:marLeft w:val="0"/>
      <w:marRight w:val="0"/>
      <w:marTop w:val="0"/>
      <w:marBottom w:val="0"/>
      <w:divBdr>
        <w:top w:val="none" w:sz="0" w:space="0" w:color="auto"/>
        <w:left w:val="none" w:sz="0" w:space="0" w:color="auto"/>
        <w:bottom w:val="none" w:sz="0" w:space="0" w:color="auto"/>
        <w:right w:val="none" w:sz="0" w:space="0" w:color="auto"/>
      </w:divBdr>
    </w:div>
    <w:div w:id="2034573625">
      <w:bodyDiv w:val="1"/>
      <w:marLeft w:val="0"/>
      <w:marRight w:val="0"/>
      <w:marTop w:val="0"/>
      <w:marBottom w:val="0"/>
      <w:divBdr>
        <w:top w:val="none" w:sz="0" w:space="0" w:color="auto"/>
        <w:left w:val="none" w:sz="0" w:space="0" w:color="auto"/>
        <w:bottom w:val="none" w:sz="0" w:space="0" w:color="auto"/>
        <w:right w:val="none" w:sz="0" w:space="0" w:color="auto"/>
      </w:divBdr>
    </w:div>
    <w:div w:id="20425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icann.org/pages/viewpage.action?pageId=596432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munity.icann.org/display/WEIA/Human+Righ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icann.org/display/WEIA/Divers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Users/tomwdale/Downloads/Enhancing%20ICANN%20Accountability%20FINAL%20-%20Clean%20-%20Charter%20-%20updated%203%20November%202014%20(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cann.org/en/system/files/files/ccwg-acct-ws2-final-27mar18-e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correspondence/gac-to-board-09mar16-en.pdf" TargetMode="External"/><Relationship Id="rId2" Type="http://schemas.openxmlformats.org/officeDocument/2006/relationships/hyperlink" Target="https://mm.icann.org/pipermail/comments-ccwg-acct-ws2-final-30mar18/attachments/20180511/7043bf04/ICANN-WS2-2emeconsultation-Juridiction-CommentairesduGouvernementfrancais-0001.pdf" TargetMode="External"/><Relationship Id="rId1" Type="http://schemas.openxmlformats.org/officeDocument/2006/relationships/hyperlink" Target="https://mm.icann.org/pipermail/comments-ccwg-acct-ws2-final-30mar18/attachments/20180511/7043bf04/ICANN-WS2-2emeconsultation-Diversite-CommentairesduGouvernementfrancais-0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Lim\Dropbox%20(ACIG)\GAC%20Secretariat\Template%20-%20ACIG%20GAC%20Brief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7831-9EEB-43DC-B9D8-982E73D3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ACIG GAC Briefing.dotx</Template>
  <TotalTime>103</TotalTime>
  <Pages>4</Pages>
  <Words>1125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7300</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Tracey</dc:creator>
  <cp:lastModifiedBy>Usuario</cp:lastModifiedBy>
  <cp:revision>14</cp:revision>
  <cp:lastPrinted>2017-02-17T01:54:00Z</cp:lastPrinted>
  <dcterms:created xsi:type="dcterms:W3CDTF">2018-05-28T03:59:00Z</dcterms:created>
  <dcterms:modified xsi:type="dcterms:W3CDTF">2018-06-20T14:43:00Z</dcterms:modified>
</cp:coreProperties>
</file>